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756" w:rsidRPr="00721FD2" w:rsidRDefault="008B7756" w:rsidP="008B7756">
      <w:r>
        <w:rPr>
          <w:noProof/>
        </w:rPr>
        <mc:AlternateContent>
          <mc:Choice Requires="wps">
            <w:drawing>
              <wp:anchor distT="0" distB="0" distL="114300" distR="114300" simplePos="0" relativeHeight="251659264" behindDoc="0" locked="0" layoutInCell="1" allowOverlap="1">
                <wp:simplePos x="0" y="0"/>
                <wp:positionH relativeFrom="column">
                  <wp:posOffset>1009015</wp:posOffset>
                </wp:positionH>
                <wp:positionV relativeFrom="paragraph">
                  <wp:posOffset>111124</wp:posOffset>
                </wp:positionV>
                <wp:extent cx="4449445" cy="790575"/>
                <wp:effectExtent l="0" t="0" r="27305" b="28575"/>
                <wp:wrapNone/>
                <wp:docPr id="76" name="Текстово поле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9445" cy="790575"/>
                        </a:xfrm>
                        <a:prstGeom prst="rect">
                          <a:avLst/>
                        </a:prstGeom>
                        <a:solidFill>
                          <a:srgbClr val="FFFFFF"/>
                        </a:solidFill>
                        <a:ln w="9528">
                          <a:solidFill>
                            <a:srgbClr val="000000"/>
                          </a:solidFill>
                          <a:miter lim="800000"/>
                          <a:headEnd/>
                          <a:tailEnd/>
                        </a:ln>
                      </wps:spPr>
                      <wps:txbx>
                        <w:txbxContent>
                          <w:p w:rsidR="008B7756" w:rsidRPr="00C32E85" w:rsidRDefault="008B7756" w:rsidP="008B7756">
                            <w:pPr>
                              <w:jc w:val="center"/>
                              <w:rPr>
                                <w:rFonts w:ascii="Georgia" w:hAnsi="Georgia"/>
                                <w:b/>
                                <w:color w:val="0070C0"/>
                                <w:sz w:val="28"/>
                                <w:szCs w:val="28"/>
                              </w:rPr>
                            </w:pPr>
                            <w:r>
                              <w:rPr>
                                <w:rFonts w:ascii="Georgia" w:hAnsi="Georgia"/>
                                <w:b/>
                                <w:color w:val="0070C0"/>
                                <w:sz w:val="28"/>
                                <w:szCs w:val="28"/>
                              </w:rPr>
                              <w:t>С</w:t>
                            </w:r>
                            <w:r w:rsidRPr="00EF5F8A">
                              <w:rPr>
                                <w:rFonts w:ascii="Georgia" w:hAnsi="Georgia"/>
                                <w:b/>
                                <w:color w:val="0070C0"/>
                              </w:rPr>
                              <w:t>ДРУЖЕНИЕ ”МЕСТНА  ИНИЦИАТИВНА  ГРУПА</w:t>
                            </w:r>
                          </w:p>
                          <w:p w:rsidR="008B7756" w:rsidRPr="007E3542" w:rsidRDefault="008B7756" w:rsidP="008B7756">
                            <w:pPr>
                              <w:jc w:val="center"/>
                              <w:rPr>
                                <w:rFonts w:ascii="Georgia" w:hAnsi="Georgia"/>
                                <w:b/>
                                <w:color w:val="0070C0"/>
                                <w:sz w:val="52"/>
                                <w:szCs w:val="52"/>
                              </w:rPr>
                            </w:pPr>
                            <w:r w:rsidRPr="00C32E85">
                              <w:rPr>
                                <w:rFonts w:ascii="Georgia" w:hAnsi="Georgia"/>
                                <w:b/>
                                <w:color w:val="0070C0"/>
                                <w:sz w:val="28"/>
                                <w:szCs w:val="28"/>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76" o:spid="_x0000_s1026" type="#_x0000_t202" style="position:absolute;margin-left:79.45pt;margin-top:8.75pt;width:350.35pt;height:6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" strokeweight=".26467mm">
                <v:textbox>
                  <w:txbxContent>
                    <w:p w:rsidR="008B7756" w:rsidRPr="00C32E85" w:rsidRDefault="008B7756" w:rsidP="008B7756">
                      <w:pPr>
                        <w:jc w:val="center"/>
                        <w:rPr>
                          <w:rFonts w:ascii="Georgia" w:hAnsi="Georgia"/>
                          <w:b/>
                          <w:color w:val="0070C0"/>
                          <w:sz w:val="28"/>
                          <w:szCs w:val="28"/>
                        </w:rPr>
                      </w:pPr>
                      <w:r>
                        <w:rPr>
                          <w:rFonts w:ascii="Georgia" w:hAnsi="Georgia"/>
                          <w:b/>
                          <w:color w:val="0070C0"/>
                          <w:sz w:val="28"/>
                          <w:szCs w:val="28"/>
                        </w:rPr>
                        <w:t>С</w:t>
                      </w:r>
                      <w:r w:rsidRPr="00EF5F8A">
                        <w:rPr>
                          <w:rFonts w:ascii="Georgia" w:hAnsi="Georgia"/>
                          <w:b/>
                          <w:color w:val="0070C0"/>
                        </w:rPr>
                        <w:t>ДРУЖЕНИЕ ”МЕСТНА  ИНИЦИАТИВНА  ГРУПА</w:t>
                      </w:r>
                    </w:p>
                    <w:p w:rsidR="008B7756" w:rsidRPr="007E3542" w:rsidRDefault="008B7756" w:rsidP="008B7756">
                      <w:pPr>
                        <w:jc w:val="center"/>
                        <w:rPr>
                          <w:rFonts w:ascii="Georgia" w:hAnsi="Georgia"/>
                          <w:b/>
                          <w:color w:val="0070C0"/>
                          <w:sz w:val="52"/>
                          <w:szCs w:val="52"/>
                        </w:rPr>
                      </w:pPr>
                      <w:r w:rsidRPr="00C32E85">
                        <w:rPr>
                          <w:rFonts w:ascii="Georgia" w:hAnsi="Georgia"/>
                          <w:b/>
                          <w:color w:val="0070C0"/>
                          <w:sz w:val="28"/>
                          <w:szCs w:val="28"/>
                        </w:rPr>
                        <w:t>ЛЯСКОВЕЦ – СТРАЖИЦА”</w:t>
                      </w:r>
                    </w:p>
                  </w:txbxContent>
                </v:textbox>
              </v:shape>
            </w:pict>
          </mc:Fallback>
        </mc:AlternateContent>
      </w:r>
      <w:r>
        <w:rPr>
          <w:b/>
          <w:noProof/>
          <w:sz w:val="28"/>
          <w:szCs w:val="28"/>
        </w:rPr>
        <w:t xml:space="preserve">    </w:t>
      </w:r>
      <w:r w:rsidRPr="00DF647E">
        <w:rPr>
          <w:b/>
          <w:noProof/>
          <w:sz w:val="28"/>
          <w:szCs w:val="28"/>
        </w:rPr>
        <w:drawing>
          <wp:inline distT="0" distB="0" distL="0" distR="0">
            <wp:extent cx="590550" cy="847725"/>
            <wp:effectExtent l="0" t="0" r="0" b="9525"/>
            <wp:docPr id="75" name="Картина 75" descr="Описание: 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Описание: 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847725"/>
                    </a:xfrm>
                    <a:prstGeom prst="rect">
                      <a:avLst/>
                    </a:prstGeom>
                    <a:noFill/>
                    <a:ln>
                      <a:noFill/>
                    </a:ln>
                  </pic:spPr>
                </pic:pic>
              </a:graphicData>
            </a:graphic>
          </wp:inline>
        </w:drawing>
      </w:r>
      <w:r w:rsidRPr="00721FD2">
        <w:t xml:space="preserve">        </w:t>
      </w:r>
      <w:r>
        <w:t xml:space="preserve">          </w:t>
      </w:r>
      <w:r w:rsidRPr="00721FD2">
        <w:t xml:space="preserve">                                                                                                                     </w:t>
      </w:r>
      <w:r w:rsidRPr="00721FD2">
        <w:rPr>
          <w:iCs/>
          <w:sz w:val="28"/>
          <w:szCs w:val="28"/>
        </w:rPr>
        <w:t xml:space="preserve">          </w:t>
      </w:r>
    </w:p>
    <w:p w:rsidR="008B7756" w:rsidRDefault="006A468A" w:rsidP="006A468A">
      <w:pPr>
        <w:pStyle w:val="a3"/>
        <w:tabs>
          <w:tab w:val="left" w:pos="7920"/>
        </w:tabs>
        <w:spacing w:after="0" w:line="300" w:lineRule="atLeast"/>
        <w:rPr>
          <w:rFonts w:eastAsia="Calibri"/>
          <w:b/>
          <w:szCs w:val="24"/>
        </w:rPr>
      </w:pPr>
      <w:r>
        <w:rPr>
          <w:rFonts w:eastAsia="Calibri"/>
          <w:b/>
          <w:szCs w:val="24"/>
        </w:rPr>
        <w:tab/>
      </w:r>
    </w:p>
    <w:p w:rsidR="008B7756" w:rsidRDefault="008B7756" w:rsidP="008B7756">
      <w:pPr>
        <w:pStyle w:val="a3"/>
        <w:spacing w:after="0" w:line="300" w:lineRule="atLeast"/>
        <w:jc w:val="center"/>
        <w:rPr>
          <w:rFonts w:eastAsia="Calibri"/>
          <w:b/>
          <w:szCs w:val="24"/>
        </w:rPr>
      </w:pPr>
      <w:r>
        <w:rPr>
          <w:rFonts w:eastAsia="Calibri"/>
          <w:b/>
          <w:szCs w:val="24"/>
        </w:rPr>
        <w:t>Приложение № 1</w:t>
      </w:r>
      <w:r w:rsidR="006A468A">
        <w:rPr>
          <w:rFonts w:eastAsia="Calibri"/>
          <w:b/>
          <w:szCs w:val="24"/>
        </w:rPr>
        <w:t>1</w:t>
      </w:r>
    </w:p>
    <w:p w:rsidR="005248B5" w:rsidRDefault="008E2D1A" w:rsidP="008E2D1A">
      <w:pPr>
        <w:pStyle w:val="a3"/>
        <w:spacing w:after="0" w:line="300" w:lineRule="atLeast"/>
        <w:jc w:val="center"/>
        <w:rPr>
          <w:rFonts w:eastAsia="Calibri"/>
          <w:b/>
          <w:szCs w:val="24"/>
        </w:rPr>
      </w:pPr>
      <w:r>
        <w:rPr>
          <w:rFonts w:eastAsia="Calibri"/>
          <w:b/>
          <w:szCs w:val="24"/>
        </w:rPr>
        <w:tab/>
      </w:r>
      <w:r>
        <w:rPr>
          <w:rFonts w:eastAsia="Calibri"/>
          <w:b/>
          <w:szCs w:val="24"/>
        </w:rPr>
        <w:tab/>
      </w:r>
      <w:r>
        <w:rPr>
          <w:rFonts w:eastAsia="Calibri"/>
          <w:b/>
          <w:szCs w:val="24"/>
        </w:rPr>
        <w:tab/>
      </w:r>
      <w:r>
        <w:rPr>
          <w:rFonts w:eastAsia="Calibri"/>
          <w:b/>
          <w:szCs w:val="24"/>
        </w:rPr>
        <w:tab/>
      </w:r>
      <w:r>
        <w:rPr>
          <w:rFonts w:eastAsia="Calibri"/>
          <w:b/>
          <w:szCs w:val="24"/>
        </w:rPr>
        <w:tab/>
      </w:r>
      <w:r>
        <w:rPr>
          <w:rFonts w:eastAsia="Calibri"/>
          <w:b/>
          <w:szCs w:val="24"/>
        </w:rPr>
        <w:tab/>
      </w:r>
      <w:r>
        <w:rPr>
          <w:rFonts w:eastAsia="Calibri"/>
          <w:b/>
          <w:szCs w:val="24"/>
        </w:rPr>
        <w:tab/>
      </w:r>
      <w:r>
        <w:rPr>
          <w:rFonts w:eastAsia="Calibri"/>
          <w:b/>
          <w:szCs w:val="24"/>
        </w:rPr>
        <w:tab/>
      </w:r>
    </w:p>
    <w:tbl>
      <w:tblPr>
        <w:tblW w:w="0" w:type="auto"/>
        <w:tblBorders>
          <w:top w:val="single" w:sz="6" w:space="0" w:color="0070C0"/>
          <w:left w:val="single" w:sz="6" w:space="0" w:color="0070C0"/>
          <w:bottom w:val="single" w:sz="6" w:space="0" w:color="0070C0"/>
          <w:right w:val="single" w:sz="6" w:space="0" w:color="0070C0"/>
          <w:insideH w:val="single" w:sz="6" w:space="0" w:color="0070C0"/>
          <w:insideV w:val="single" w:sz="6" w:space="0" w:color="0070C0"/>
        </w:tblBorders>
        <w:tblLook w:val="04A0" w:firstRow="1" w:lastRow="0" w:firstColumn="1" w:lastColumn="0" w:noHBand="0" w:noVBand="1"/>
      </w:tblPr>
      <w:tblGrid>
        <w:gridCol w:w="9496"/>
      </w:tblGrid>
      <w:tr w:rsidR="008B7756" w:rsidRPr="008F724D" w:rsidTr="008175F7">
        <w:trPr>
          <w:trHeight w:val="470"/>
        </w:trPr>
        <w:tc>
          <w:tcPr>
            <w:tcW w:w="9496" w:type="dxa"/>
            <w:shd w:val="clear" w:color="auto" w:fill="CCECFF"/>
          </w:tcPr>
          <w:p w:rsidR="008B7756" w:rsidRPr="006A4243" w:rsidRDefault="008B7756" w:rsidP="008B7756">
            <w:pPr>
              <w:widowControl w:val="0"/>
              <w:autoSpaceDE w:val="0"/>
              <w:autoSpaceDN w:val="0"/>
              <w:adjustRightInd w:val="0"/>
              <w:spacing w:line="240" w:lineRule="auto"/>
              <w:jc w:val="center"/>
              <w:rPr>
                <w:b/>
                <w:sz w:val="28"/>
                <w:szCs w:val="28"/>
              </w:rPr>
            </w:pPr>
            <w:r w:rsidRPr="006429ED">
              <w:rPr>
                <w:b/>
                <w:sz w:val="28"/>
                <w:szCs w:val="28"/>
              </w:rPr>
              <w:t xml:space="preserve">Процедура чрез подбор на проектни предложения </w:t>
            </w:r>
            <w:r w:rsidRPr="00413AFD">
              <w:rPr>
                <w:b/>
                <w:sz w:val="28"/>
                <w:szCs w:val="28"/>
              </w:rPr>
              <w:t>с няколко крайни срока за кандидатстване:</w:t>
            </w:r>
          </w:p>
          <w:p w:rsidR="008B7756" w:rsidRDefault="008B7756" w:rsidP="008175F7">
            <w:pPr>
              <w:spacing w:line="360" w:lineRule="auto"/>
              <w:ind w:right="-2"/>
              <w:jc w:val="center"/>
              <w:rPr>
                <w:b/>
                <w:sz w:val="28"/>
                <w:szCs w:val="28"/>
              </w:rPr>
            </w:pPr>
            <w:bookmarkStart w:id="0" w:name="OLE_LINK4"/>
            <w:r>
              <w:rPr>
                <w:b/>
                <w:sz w:val="28"/>
                <w:szCs w:val="28"/>
              </w:rPr>
              <w:t>СНЦ</w:t>
            </w:r>
            <w:r w:rsidRPr="006A4243">
              <w:rPr>
                <w:b/>
                <w:sz w:val="28"/>
                <w:szCs w:val="28"/>
              </w:rPr>
              <w:t xml:space="preserve"> „</w:t>
            </w:r>
            <w:r>
              <w:rPr>
                <w:b/>
                <w:sz w:val="28"/>
                <w:szCs w:val="28"/>
              </w:rPr>
              <w:t>МИГ –Лясковец-Стражица“</w:t>
            </w:r>
          </w:p>
          <w:p w:rsidR="008B7756" w:rsidRDefault="008B7756" w:rsidP="008175F7">
            <w:pPr>
              <w:spacing w:line="360" w:lineRule="auto"/>
              <w:ind w:right="-2"/>
              <w:jc w:val="center"/>
              <w:rPr>
                <w:b/>
                <w:sz w:val="28"/>
                <w:szCs w:val="28"/>
              </w:rPr>
            </w:pPr>
            <w:r>
              <w:rPr>
                <w:b/>
                <w:sz w:val="28"/>
                <w:szCs w:val="28"/>
              </w:rPr>
              <w:t>СТРАТЕГИЯ ЗА ВОМР</w:t>
            </w:r>
          </w:p>
          <w:p w:rsidR="008B7756" w:rsidRPr="00C15879" w:rsidRDefault="008B7756" w:rsidP="008175F7">
            <w:pPr>
              <w:spacing w:line="360" w:lineRule="auto"/>
              <w:ind w:right="-2"/>
              <w:jc w:val="center"/>
              <w:rPr>
                <w:b/>
                <w:sz w:val="28"/>
                <w:szCs w:val="28"/>
              </w:rPr>
            </w:pPr>
            <w:r>
              <w:rPr>
                <w:b/>
                <w:sz w:val="28"/>
                <w:szCs w:val="28"/>
              </w:rPr>
              <w:t xml:space="preserve"> </w:t>
            </w:r>
            <w:r w:rsidRPr="00800FF0">
              <w:rPr>
                <w:b/>
                <w:sz w:val="28"/>
                <w:szCs w:val="28"/>
              </w:rPr>
              <w:t>Мярка</w:t>
            </w:r>
            <w:r w:rsidRPr="00313247">
              <w:rPr>
                <w:b/>
                <w:sz w:val="28"/>
                <w:szCs w:val="28"/>
              </w:rPr>
              <w:t xml:space="preserve">  </w:t>
            </w:r>
            <w:r w:rsidRPr="00E81775">
              <w:rPr>
                <w:b/>
                <w:sz w:val="28"/>
                <w:szCs w:val="28"/>
              </w:rPr>
              <w:t>МИГ4.1  „Инве</w:t>
            </w:r>
            <w:r>
              <w:rPr>
                <w:b/>
                <w:sz w:val="28"/>
                <w:szCs w:val="28"/>
              </w:rPr>
              <w:t>стиции в земеделски стопанства</w:t>
            </w:r>
            <w:r w:rsidRPr="00313247">
              <w:rPr>
                <w:b/>
                <w:sz w:val="28"/>
                <w:szCs w:val="28"/>
              </w:rPr>
              <w:t>”</w:t>
            </w:r>
          </w:p>
          <w:p w:rsidR="008B7756" w:rsidRPr="00C15879" w:rsidRDefault="008B7756" w:rsidP="008175F7">
            <w:pPr>
              <w:spacing w:line="360" w:lineRule="auto"/>
              <w:ind w:right="-2"/>
              <w:jc w:val="center"/>
              <w:rPr>
                <w:b/>
                <w:sz w:val="24"/>
                <w:szCs w:val="24"/>
              </w:rPr>
            </w:pPr>
            <w:r w:rsidRPr="00800FF0">
              <w:rPr>
                <w:b/>
                <w:sz w:val="24"/>
                <w:szCs w:val="24"/>
              </w:rPr>
              <w:t>M04 - Инвестиции в материални активи (член 17</w:t>
            </w:r>
            <w:r>
              <w:rPr>
                <w:b/>
                <w:sz w:val="24"/>
                <w:szCs w:val="24"/>
              </w:rPr>
              <w:t>)</w:t>
            </w:r>
          </w:p>
          <w:bookmarkEnd w:id="0"/>
          <w:p w:rsidR="008B7756" w:rsidRDefault="008B7756" w:rsidP="008175F7">
            <w:pPr>
              <w:widowControl w:val="0"/>
              <w:autoSpaceDE w:val="0"/>
              <w:autoSpaceDN w:val="0"/>
              <w:adjustRightInd w:val="0"/>
              <w:spacing w:line="240" w:lineRule="auto"/>
              <w:jc w:val="center"/>
              <w:rPr>
                <w:b/>
                <w:sz w:val="28"/>
                <w:szCs w:val="28"/>
              </w:rPr>
            </w:pPr>
            <w:r>
              <w:rPr>
                <w:b/>
                <w:sz w:val="28"/>
                <w:szCs w:val="28"/>
              </w:rPr>
              <w:t xml:space="preserve">Процедура </w:t>
            </w:r>
            <w:r w:rsidR="00914722" w:rsidRPr="00914722">
              <w:rPr>
                <w:b/>
                <w:sz w:val="28"/>
                <w:szCs w:val="28"/>
              </w:rPr>
              <w:t>№BG06RDNP001-19.</w:t>
            </w:r>
            <w:r w:rsidR="006A468A">
              <w:rPr>
                <w:b/>
                <w:sz w:val="28"/>
                <w:szCs w:val="28"/>
              </w:rPr>
              <w:t>541</w:t>
            </w:r>
          </w:p>
          <w:p w:rsidR="008B7756" w:rsidRPr="008F724D" w:rsidRDefault="008B7756" w:rsidP="008175F7">
            <w:pPr>
              <w:spacing w:line="360" w:lineRule="auto"/>
              <w:ind w:right="-2"/>
              <w:jc w:val="center"/>
            </w:pPr>
          </w:p>
        </w:tc>
      </w:tr>
    </w:tbl>
    <w:p w:rsidR="005248B5" w:rsidRDefault="005248B5" w:rsidP="008E2D1A">
      <w:pPr>
        <w:pStyle w:val="a3"/>
        <w:spacing w:after="0" w:line="300" w:lineRule="atLeast"/>
        <w:jc w:val="center"/>
        <w:rPr>
          <w:rFonts w:eastAsia="Calibri"/>
          <w:b/>
          <w:szCs w:val="24"/>
        </w:rPr>
      </w:pPr>
    </w:p>
    <w:p w:rsidR="008E2D1A" w:rsidRDefault="008E2D1A" w:rsidP="008B7756">
      <w:pPr>
        <w:pStyle w:val="a3"/>
        <w:spacing w:after="0" w:line="300" w:lineRule="atLeast"/>
        <w:rPr>
          <w:rFonts w:eastAsia="Calibri"/>
          <w:b/>
          <w:szCs w:val="24"/>
        </w:rPr>
      </w:pPr>
    </w:p>
    <w:p w:rsidR="009C1C8E" w:rsidRPr="009C1C8E" w:rsidRDefault="009C1C8E" w:rsidP="008E2D1A">
      <w:pPr>
        <w:pStyle w:val="a3"/>
        <w:spacing w:after="0" w:line="300" w:lineRule="atLeast"/>
        <w:jc w:val="center"/>
        <w:rPr>
          <w:rFonts w:eastAsia="Calibri"/>
          <w:b/>
          <w:szCs w:val="24"/>
        </w:rPr>
      </w:pPr>
      <w:r w:rsidRPr="009C1C8E">
        <w:rPr>
          <w:rFonts w:eastAsia="Calibri"/>
          <w:b/>
          <w:szCs w:val="24"/>
        </w:rPr>
        <w:t>УСЛОВИЯ ЗА ИЗПЪЛНЕНИЕ НА ОДОБРЕНИТЕ ПРОЕКТИ</w:t>
      </w:r>
    </w:p>
    <w:p w:rsidR="009C1C8E" w:rsidRPr="009C1C8E" w:rsidRDefault="009C1C8E" w:rsidP="009C1C8E">
      <w:pPr>
        <w:pStyle w:val="a3"/>
        <w:spacing w:after="0" w:line="300" w:lineRule="atLeast"/>
        <w:jc w:val="both"/>
        <w:rPr>
          <w:rFonts w:eastAsia="Calibri"/>
          <w:b/>
          <w:szCs w:val="24"/>
        </w:rPr>
      </w:pPr>
    </w:p>
    <w:p w:rsidR="009C1C8E" w:rsidRPr="009C1C8E" w:rsidRDefault="009C1C8E" w:rsidP="009C1C8E">
      <w:pPr>
        <w:pStyle w:val="a3"/>
        <w:spacing w:after="0" w:line="300" w:lineRule="atLeast"/>
        <w:jc w:val="both"/>
        <w:rPr>
          <w:rFonts w:eastAsia="Calibri"/>
          <w:b/>
          <w:szCs w:val="24"/>
        </w:rPr>
      </w:pPr>
    </w:p>
    <w:p w:rsidR="009C1C8E" w:rsidRPr="009C1C8E" w:rsidRDefault="009C1C8E" w:rsidP="008B7756">
      <w:pPr>
        <w:pBdr>
          <w:top w:val="single" w:sz="4" w:space="1" w:color="auto"/>
          <w:left w:val="single" w:sz="4" w:space="1" w:color="auto"/>
          <w:bottom w:val="single" w:sz="4" w:space="1" w:color="auto"/>
          <w:right w:val="single" w:sz="4" w:space="0"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8B7756">
      <w:pPr>
        <w:pBdr>
          <w:top w:val="single" w:sz="4" w:space="1" w:color="auto"/>
          <w:left w:val="single" w:sz="4" w:space="1" w:color="auto"/>
          <w:bottom w:val="single" w:sz="4" w:space="1" w:color="auto"/>
          <w:right w:val="single" w:sz="4" w:space="0" w:color="auto"/>
        </w:pBdr>
        <w:shd w:val="clear" w:color="auto" w:fill="FEFEFE"/>
        <w:ind w:firstLine="720"/>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А. Техническо изпълнение на проектите:</w:t>
      </w:r>
    </w:p>
    <w:p w:rsidR="009C1C8E" w:rsidRPr="009C1C8E" w:rsidRDefault="009C1C8E" w:rsidP="008B7756">
      <w:pPr>
        <w:pBdr>
          <w:top w:val="single" w:sz="4" w:space="1" w:color="auto"/>
          <w:left w:val="single" w:sz="4" w:space="1" w:color="auto"/>
          <w:bottom w:val="single" w:sz="4" w:space="1" w:color="auto"/>
          <w:right w:val="single" w:sz="4" w:space="0" w:color="auto"/>
        </w:pBdr>
        <w:shd w:val="clear" w:color="auto" w:fill="FEFEFE"/>
        <w:ind w:firstLine="720"/>
        <w:rPr>
          <w:rFonts w:ascii="Times New Roman" w:hAnsi="Times New Roman" w:cs="Times New Roman"/>
          <w:b/>
          <w:color w:val="000000"/>
          <w:sz w:val="24"/>
          <w:szCs w:val="24"/>
        </w:rPr>
      </w:pPr>
    </w:p>
    <w:p w:rsidR="009C1C8E" w:rsidRPr="009C1C8E" w:rsidRDefault="009C1C8E" w:rsidP="008B7756">
      <w:pPr>
        <w:pBdr>
          <w:top w:val="single" w:sz="4" w:space="1" w:color="auto"/>
          <w:left w:val="single" w:sz="4" w:space="1" w:color="auto"/>
          <w:bottom w:val="single" w:sz="4" w:space="1" w:color="auto"/>
          <w:right w:val="single" w:sz="4" w:space="0" w:color="auto"/>
        </w:pBdr>
        <w:shd w:val="clear" w:color="auto" w:fill="FEFEFE"/>
        <w:ind w:firstLine="720"/>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 xml:space="preserve">І. Срок за изпълнение на одобрения проект и </w:t>
      </w:r>
      <w:proofErr w:type="spellStart"/>
      <w:r w:rsidRPr="009C1C8E">
        <w:rPr>
          <w:rFonts w:ascii="Times New Roman" w:hAnsi="Times New Roman" w:cs="Times New Roman"/>
          <w:b/>
          <w:color w:val="000000"/>
          <w:sz w:val="24"/>
          <w:szCs w:val="24"/>
        </w:rPr>
        <w:t>мониторингов</w:t>
      </w:r>
      <w:proofErr w:type="spellEnd"/>
      <w:r w:rsidRPr="009C1C8E">
        <w:rPr>
          <w:rFonts w:ascii="Times New Roman" w:hAnsi="Times New Roman" w:cs="Times New Roman"/>
          <w:b/>
          <w:color w:val="000000"/>
          <w:sz w:val="24"/>
          <w:szCs w:val="24"/>
        </w:rPr>
        <w:t xml:space="preserve"> период</w:t>
      </w:r>
    </w:p>
    <w:p w:rsidR="009C1C8E" w:rsidRPr="009C1C8E" w:rsidRDefault="009C1C8E" w:rsidP="008B7756">
      <w:pPr>
        <w:pBdr>
          <w:top w:val="single" w:sz="4" w:space="1" w:color="auto"/>
          <w:left w:val="single" w:sz="4" w:space="1" w:color="auto"/>
          <w:bottom w:val="single" w:sz="4" w:space="1" w:color="auto"/>
          <w:right w:val="single" w:sz="4" w:space="0" w:color="auto"/>
        </w:pBdr>
        <w:shd w:val="clear" w:color="auto" w:fill="FEFEFE"/>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Получателят на финансовата помощ изпълнява проекта в съответствие с нормативните и договорните правила при спазване на условията на ПРСР за периода 2014-2020 г.</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Крайният срок за изпълнение на дейностите по проектите към стратегия за ВОМР, финансирани от ЕЗФРСР, е до 30 юни 2023 г.</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Одобреният проект за финансиране от ЕЗФРСР се изпълнява в срок до тридесет и шест месеца.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Срокът и изискванията към бенефициентите за стартиране изпълнението на одобрения проект се посочват в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Бенефициентите се задължават да спазват всички критерии за допустимост, ангажименти и други задължения, произтичащи от предоставеното подпомагане, до изтичане на </w:t>
      </w:r>
      <w:proofErr w:type="spellStart"/>
      <w:r w:rsidRPr="009C1C8E">
        <w:rPr>
          <w:rFonts w:ascii="Times New Roman" w:hAnsi="Times New Roman" w:cs="Times New Roman"/>
          <w:color w:val="000000"/>
          <w:sz w:val="24"/>
          <w:szCs w:val="24"/>
        </w:rPr>
        <w:t>мониторинговия</w:t>
      </w:r>
      <w:proofErr w:type="spellEnd"/>
      <w:r w:rsidRPr="009C1C8E">
        <w:rPr>
          <w:rFonts w:ascii="Times New Roman" w:hAnsi="Times New Roman" w:cs="Times New Roman"/>
          <w:color w:val="000000"/>
          <w:sz w:val="24"/>
          <w:szCs w:val="24"/>
        </w:rPr>
        <w:t xml:space="preserve"> период, определен, както следва: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 В срок до три години, считано от окончателното плащане по административния договор – за бенефициентите, чиито предприятия имат статут на </w:t>
      </w:r>
      <w:proofErr w:type="spellStart"/>
      <w:r w:rsidRPr="009C1C8E">
        <w:rPr>
          <w:rFonts w:ascii="Times New Roman" w:hAnsi="Times New Roman" w:cs="Times New Roman"/>
          <w:color w:val="000000"/>
          <w:sz w:val="24"/>
          <w:szCs w:val="24"/>
        </w:rPr>
        <w:t>микро-</w:t>
      </w:r>
      <w:proofErr w:type="spellEnd"/>
      <w:r w:rsidRPr="009C1C8E">
        <w:rPr>
          <w:rFonts w:ascii="Times New Roman" w:hAnsi="Times New Roman" w:cs="Times New Roman"/>
          <w:color w:val="000000"/>
          <w:sz w:val="24"/>
          <w:szCs w:val="24"/>
        </w:rPr>
        <w:t xml:space="preserve">, малко или средно предприятие по смисъла на Закона за малките и средните предприятия (ЗМСП) или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2. В срок до пет години, считано от окончателното плащане по административния договор – за всички бенефициенти, извън т. 1.</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За определяне на продължителността на ангажимента на кандидатите по отношение на създадените работни места, че той трябва да съответства на срока, за който бизнес плана се предоставя.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 xml:space="preserve">ІІ. Критерии за допустимост, ангажименти и други задължения на </w:t>
      </w:r>
      <w:proofErr w:type="spellStart"/>
      <w:r w:rsidRPr="009C1C8E">
        <w:rPr>
          <w:rFonts w:ascii="Times New Roman" w:hAnsi="Times New Roman" w:cs="Times New Roman"/>
          <w:b/>
          <w:color w:val="000000"/>
          <w:sz w:val="24"/>
          <w:szCs w:val="24"/>
        </w:rPr>
        <w:t>получателитена</w:t>
      </w:r>
      <w:proofErr w:type="spellEnd"/>
      <w:r w:rsidRPr="009C1C8E">
        <w:rPr>
          <w:rFonts w:ascii="Times New Roman" w:hAnsi="Times New Roman" w:cs="Times New Roman"/>
          <w:b/>
          <w:color w:val="000000"/>
          <w:sz w:val="24"/>
          <w:szCs w:val="24"/>
        </w:rPr>
        <w:t xml:space="preserve">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rPr>
          <w:rFonts w:ascii="Times New Roman" w:hAnsi="Times New Roman" w:cs="Times New Roman"/>
          <w:b/>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1.Критерии за допустимост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sz w:val="24"/>
          <w:szCs w:val="24"/>
        </w:rPr>
      </w:pPr>
      <w:r w:rsidRPr="009C1C8E">
        <w:rPr>
          <w:rFonts w:ascii="Times New Roman" w:hAnsi="Times New Roman" w:cs="Times New Roman"/>
          <w:sz w:val="24"/>
          <w:szCs w:val="24"/>
        </w:rPr>
        <w:t xml:space="preserve">За периода от датата на подаване на проектното предложение до изтичане на срока на мониторинг по отношение на получателя на финансова помощ или на съответното задължено лице не следва да е налице обстоятелство, посочено в т. 11.2 от Условията за кандидатстване.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sz w:val="24"/>
          <w:szCs w:val="24"/>
        </w:rPr>
      </w:pPr>
      <w:r w:rsidRPr="009C1C8E">
        <w:rPr>
          <w:rFonts w:ascii="Times New Roman" w:hAnsi="Times New Roman" w:cs="Times New Roman"/>
          <w:sz w:val="24"/>
          <w:szCs w:val="24"/>
        </w:rPr>
        <w:t xml:space="preserve">За периода от изпълнение на одобрения проект до изтичане на срока за мониторинг получателите на финансова помощ са длъжни да не променят местоположението на подпомаганата дейност извън територията на </w:t>
      </w:r>
      <w:r w:rsidR="008B7756">
        <w:rPr>
          <w:rFonts w:ascii="Times New Roman" w:hAnsi="Times New Roman" w:cs="Times New Roman"/>
          <w:sz w:val="24"/>
          <w:szCs w:val="24"/>
        </w:rPr>
        <w:t>МИГ.</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За периода от подаване на Формуляра за кандидатстване 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инвестиционните разходи, за които </w:t>
      </w:r>
      <w:proofErr w:type="spellStart"/>
      <w:r w:rsidRPr="009C1C8E">
        <w:rPr>
          <w:rFonts w:ascii="Times New Roman" w:hAnsi="Times New Roman" w:cs="Times New Roman"/>
          <w:color w:val="000000"/>
          <w:sz w:val="24"/>
          <w:szCs w:val="24"/>
        </w:rPr>
        <w:t>саполучили</w:t>
      </w:r>
      <w:proofErr w:type="spellEnd"/>
      <w:r w:rsidRPr="009C1C8E">
        <w:rPr>
          <w:rFonts w:ascii="Times New Roman" w:hAnsi="Times New Roman" w:cs="Times New Roman"/>
          <w:color w:val="000000"/>
          <w:sz w:val="24"/>
          <w:szCs w:val="24"/>
        </w:rPr>
        <w:t xml:space="preserve"> финансова помощ по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2. Ангажименти и други задължения на получателите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 Получателят на финансова помощ, който е възложител по Закона за обществените поръчки, провежда съответната процедура за избор на изпълнител/и на дейностите по проекта след сключване на договора за финансова помощ с изключение на процедурите за избор на изпълнител/и за разходи, извършени преди подаване на проектното предложение, за които кандидатът представя заверено копие от документацията от проведената процедура по Закона за обществените поръчки.</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2. Получателят представя на ДФЗ списък на планираните обществени поръчки в ИСУН 2020 по образец, утвърден от изпълнителния директор, в срок до 20 работни дни от датата на сключване на договора. Крайният срок за публикуване на решението за откриване на процедурите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w:t>
      </w:r>
      <w:r w:rsidRPr="009C1C8E">
        <w:rPr>
          <w:rFonts w:ascii="Times New Roman" w:hAnsi="Times New Roman" w:cs="Times New Roman"/>
          <w:color w:val="000000"/>
          <w:sz w:val="24"/>
          <w:szCs w:val="24"/>
        </w:rPr>
        <w:lastRenderedPageBreak/>
        <w:t>решение за откриване на процедура за възлагане на обществена поръчка в срок до 7 работни дни от датата на публикуването.</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3. 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разходите, извършени преди подаване на проектното предложение, е до 4 месеца от датата на сключване на договора. Получателят уведомява ДФЗ чрез ИСУН за публикуване на решението за откриване на процедура за възлагане на обществена поръчка в срок до 7 работни дни от датата на публикуването.</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4. Държавен фонд „Земеделие“, осъществява предварителна проверка и </w:t>
      </w:r>
      <w:proofErr w:type="spellStart"/>
      <w:r w:rsidRPr="009C1C8E">
        <w:rPr>
          <w:rFonts w:ascii="Times New Roman" w:hAnsi="Times New Roman" w:cs="Times New Roman"/>
          <w:color w:val="000000"/>
          <w:sz w:val="24"/>
          <w:szCs w:val="24"/>
        </w:rPr>
        <w:t>последващ</w:t>
      </w:r>
      <w:proofErr w:type="spellEnd"/>
      <w:r w:rsidRPr="009C1C8E">
        <w:rPr>
          <w:rFonts w:ascii="Times New Roman" w:hAnsi="Times New Roman" w:cs="Times New Roman"/>
          <w:color w:val="000000"/>
          <w:sz w:val="24"/>
          <w:szCs w:val="24"/>
        </w:rPr>
        <w:t xml:space="preserve"> контрол на процедурите за обществени поръчки съгласно утвърдени от изпълнителния директор на ДФЗ процедури. 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 Държавен фонд „Земеделие“, осъществява предварителната проверка в срок до 20 работни дни от получаване на списъка на планираните обществени поръчки.</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5. Държавен фонд „Земеделие“, извършва </w:t>
      </w:r>
      <w:proofErr w:type="spellStart"/>
      <w:r w:rsidRPr="009C1C8E">
        <w:rPr>
          <w:rFonts w:ascii="Times New Roman" w:hAnsi="Times New Roman" w:cs="Times New Roman"/>
          <w:color w:val="000000"/>
          <w:sz w:val="24"/>
          <w:szCs w:val="24"/>
        </w:rPr>
        <w:t>последващ</w:t>
      </w:r>
      <w:proofErr w:type="spellEnd"/>
      <w:r w:rsidRPr="009C1C8E">
        <w:rPr>
          <w:rFonts w:ascii="Times New Roman" w:hAnsi="Times New Roman" w:cs="Times New Roman"/>
          <w:color w:val="000000"/>
          <w:sz w:val="24"/>
          <w:szCs w:val="24"/>
        </w:rPr>
        <w:t xml:space="preserve"> контрол  в срок до 4 месеца от получаване на документите за проведената процедура за избор на изпълнител. 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6. За възложители по Закона за обществените поръчки ДФЗ може да преценява обосноваността на разходите на представения работен/технически проект чрез съпоставяне с референтни разходи или с оценяваща комисия.</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7.  За получатели по чл. 49, ал. 2, т. 2 от Закона за управление на средствата от Европейските структурни и инвестиционни фондове ДФЗ може да преценява обосноваността на разходите по представения работен/технически проект чрез референтни разходи, </w:t>
      </w:r>
      <w:r w:rsidRPr="009C1C8E">
        <w:rPr>
          <w:rFonts w:ascii="Times New Roman" w:hAnsi="Times New Roman" w:cs="Times New Roman"/>
          <w:color w:val="000000"/>
          <w:sz w:val="24"/>
          <w:szCs w:val="24"/>
        </w:rPr>
        <w:lastRenderedPageBreak/>
        <w:t>сравняване на различните оферти или комисия за оценка при спазване на условията на ПМС № 189.</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8. Получателите на финансова помощ са длъжни да изпълнят изцяло одобрения проект в срока, посочен в административния договор и при спазване на крайните срокове за това, посочени в т. 1 от Раздел I на настоящите условия за изпълнение, съгласно таблицата за одобрените инвестиционни разходи, представляваща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 (когато е приложимо в зависимост от предмета на договора и от качеството на </w:t>
      </w:r>
      <w:r w:rsidRPr="009C1C8E">
        <w:rPr>
          <w:rFonts w:ascii="Times New Roman" w:hAnsi="Times New Roman" w:cs="Times New Roman"/>
          <w:sz w:val="24"/>
          <w:szCs w:val="24"/>
        </w:rPr>
        <w:t xml:space="preserve">получател на финансова помощ </w:t>
      </w:r>
      <w:r w:rsidRPr="009C1C8E">
        <w:rPr>
          <w:rFonts w:ascii="Times New Roman" w:hAnsi="Times New Roman" w:cs="Times New Roman"/>
          <w:color w:val="000000"/>
          <w:sz w:val="24"/>
          <w:szCs w:val="24"/>
        </w:rPr>
        <w:t>като възложител по ЗОП). Задължението включва и задължението за започване на инвестицията в сроковете и при условията, посочени в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9. Получателят на помощта е длъжен да предоставя на МИГ, УО на ПРСР 2014 - 2020 г., и на ДФЗ всяка поискана информация за осъществяването на дейността по проекта. 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МИГ,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w:t>
      </w:r>
      <w:proofErr w:type="spellStart"/>
      <w:r w:rsidRPr="009C1C8E">
        <w:rPr>
          <w:rFonts w:ascii="Times New Roman" w:hAnsi="Times New Roman" w:cs="Times New Roman"/>
          <w:color w:val="000000"/>
          <w:sz w:val="24"/>
          <w:szCs w:val="24"/>
        </w:rPr>
        <w:t>Сертификационен</w:t>
      </w:r>
      <w:proofErr w:type="spellEnd"/>
      <w:r w:rsidRPr="009C1C8E">
        <w:rPr>
          <w:rFonts w:ascii="Times New Roman" w:hAnsi="Times New Roman" w:cs="Times New Roman"/>
          <w:color w:val="000000"/>
          <w:sz w:val="24"/>
          <w:szCs w:val="24"/>
        </w:rPr>
        <w:t xml:space="preserve"> одит на средствата от европейските земеделски фондове“, както и на всеки упълномощен външен </w:t>
      </w:r>
      <w:proofErr w:type="spellStart"/>
      <w:r w:rsidRPr="009C1C8E">
        <w:rPr>
          <w:rFonts w:ascii="Times New Roman" w:hAnsi="Times New Roman" w:cs="Times New Roman"/>
          <w:color w:val="000000"/>
          <w:sz w:val="24"/>
          <w:szCs w:val="24"/>
        </w:rPr>
        <w:t>одитор</w:t>
      </w:r>
      <w:proofErr w:type="spellEnd"/>
      <w:r w:rsidRPr="009C1C8E">
        <w:rPr>
          <w:rFonts w:ascii="Times New Roman" w:hAnsi="Times New Roman" w:cs="Times New Roman"/>
          <w:color w:val="000000"/>
          <w:sz w:val="24"/>
          <w:szCs w:val="24"/>
        </w:rPr>
        <w:t xml:space="preserve"> в срок до 5 години, считано от последното плащане по споразумението за предоставяне на финансова помощ. Ако УО на ПРСР 2014 - 2020 г. или Европейската комисия направи оценяване и/или наблюдение на ПРСР 2014 - 2020 г.  получателят на помощта поема задължението да осигури на тях и/или на упълномощените от тях лица всякакви документи и информация, които ще подпомогнат оценяването или наблюдението, както и гореописаните проверки. Длъжностните лица на УО на ПРСР 2014 - 2020 г. и на ДФЗ и представителите на Европейската комисия са длъжни да се легитимират пред получателя на помощта и да извършват проверки в съответствие с предоставените им правомощия.</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10. 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11. Получателите на финансова помощ са длъжни да: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 xml:space="preserve">11.1. осигурят разликата между пълния размер на одобрените разходи и размера одобрената финансова помощ, посочен в административния </w:t>
      </w:r>
      <w:proofErr w:type="spellStart"/>
      <w:r w:rsidRPr="009C1C8E">
        <w:rPr>
          <w:rFonts w:ascii="Times New Roman" w:hAnsi="Times New Roman" w:cs="Times New Roman"/>
          <w:color w:val="000000"/>
          <w:sz w:val="24"/>
          <w:szCs w:val="24"/>
        </w:rPr>
        <w:t>договорсамо</w:t>
      </w:r>
      <w:proofErr w:type="spellEnd"/>
      <w:r w:rsidRPr="009C1C8E">
        <w:rPr>
          <w:rFonts w:ascii="Times New Roman" w:hAnsi="Times New Roman" w:cs="Times New Roman"/>
          <w:color w:val="000000"/>
          <w:sz w:val="24"/>
          <w:szCs w:val="24"/>
        </w:rPr>
        <w:t xml:space="preserve"> в парична форма;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11.2. да спазват изискванията и сроковете при кандидатстване за получаване на авансово или междинно плащане,посочени в настоящите условия, в административния договор или в наредбата по чл. 9б, т. 3 от Закона за подпомагане на земеделските производители (ЗПЗП), включително като прилагат към искането за плащане документите, посочени в настоящите условия и/или в наредбата по чл. 9б, т. 3 от ЗПЗП;</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11.3. да 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11.4. да подадат искане за окончателно плащане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наредбата по чл. 9б, т. 3 от ЗПЗП.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11.5. да 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 но са необходими за изпълнението на одобрения проект и които са посочени в приложение към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11.6. да спазва разпоредбите на ЗОП и актовете по неговото прилагане, както и указанията на РА, когато възлага обществени поръчки за изпълнение на дейностите по одобрения проект, при спазване на всички изисквания и срокове, посочени в настоящите условия (важи когато получателите на финансова помощ са възложители по ЗОП).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w:t>
      </w:r>
      <w:r w:rsidRPr="009C1C8E">
        <w:rPr>
          <w:rFonts w:ascii="Times New Roman" w:hAnsi="Times New Roman" w:cs="Times New Roman"/>
          <w:sz w:val="24"/>
          <w:szCs w:val="24"/>
        </w:rPr>
        <w:t xml:space="preserve"> Получателите на финансова помощ </w:t>
      </w:r>
      <w:r w:rsidRPr="009C1C8E">
        <w:rPr>
          <w:rFonts w:ascii="Times New Roman" w:hAnsi="Times New Roman" w:cs="Times New Roman"/>
          <w:color w:val="000000"/>
          <w:sz w:val="24"/>
          <w:szCs w:val="24"/>
        </w:rPr>
        <w:t xml:space="preserve">се задължават от датата на сключването на административния договор до изтичане на </w:t>
      </w:r>
      <w:proofErr w:type="spellStart"/>
      <w:r w:rsidRPr="009C1C8E">
        <w:rPr>
          <w:rFonts w:ascii="Times New Roman" w:hAnsi="Times New Roman" w:cs="Times New Roman"/>
          <w:color w:val="000000"/>
          <w:sz w:val="24"/>
          <w:szCs w:val="24"/>
        </w:rPr>
        <w:t>мониторинговия</w:t>
      </w:r>
      <w:proofErr w:type="spellEnd"/>
      <w:r w:rsidRPr="009C1C8E">
        <w:rPr>
          <w:rFonts w:ascii="Times New Roman" w:hAnsi="Times New Roman" w:cs="Times New Roman"/>
          <w:color w:val="000000"/>
          <w:sz w:val="24"/>
          <w:szCs w:val="24"/>
        </w:rPr>
        <w:t xml:space="preserve"> период да: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12.1. съхранява всички документи, свързани с подпомаганите дейности;</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12.2. използва закупените/подобрените/реконструирани/изградени въз основа на одобрения проект активи по предназначение;</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12.3.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12.4. не преотстъпва ползването на активите - предмет на подпомагането, под каквато и да е форма;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12.5. не променя местоположението на подпомогнатата дейност;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12.6. не преустановява подпомогнатата дейност.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12.7. поддържат съответствие с всеки критерии за подбор, по който проектното предложение е било оценено, съгласно списък с критериите за подбор и получените точки по всеки от тях, представляващи приложение към административния договор. При неспазване на това задължение РА отказва изцяло или частично изплащане на финансовата помощ, респ.претендира възстановяване на изплатената финансова помощ, в размерите, посочени в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            12.8.  спазват и други свои задължения, посочени в административния договор или в приложим нормативен акт;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Изискването по т. 12.2, 12.3 и 12.4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Изискването на т. 12.4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Изискването на  т. 12.5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Получателят е длъжен да изпълнява задълженията си по т. 12.1 до т. 12.6  за срок от: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1. 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2. десет години от датата на сключване на договора, когато е предоставена държавна или минимална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3. пет години след извършване на окончателното плащане за всички останали случаи.</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13. Получателят на финансовата помощ е длъжен да води всички финансови операции, свързани с подпомаганите дейности, в отделна аналитична счетоводна сметка. 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14. Получателят на финансова помощ е длъжен незабавно да уведоми  ДФЗ  и МИГ за всяко обстоятелство, което би могло да възпрепятства или забави осъществяването на дейностите по проекта.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15. 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В случаите когато  получателят на помощта не изпълнява свои нормативни или договорни задължения след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изплащане на финансова помощ  ДФЗ определя размера на средствата, които трябва да бъдат възстановени от получателя, като взема предвид вида, степента и продължителността на неизпълнението.</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16. Държавен фонд „Земеделие“ може да поиска връщане на вече платени суми заедно със законната лихва върху тях, когато получателят на финансовата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16.1. е представил декларация с невярно съдържание и/или документ с невярно съдържание, неистински или преправен документ, и/или изкуствено е създал условия за изпълнение на изискванията за получаване на финансова помощ, за да извлече облага в противоречие с целите на тази наредба;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16.2. е получил или е одобрен за получаване на допълнителна публична финансова помощ за дейности, финансирани по реда на тази наредба;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16.3. не изпълнява задълженията си да застрахова активите, предмет на подпомагане за срока, рисковете и при условията, посочени в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17. Получателят на помощта дължи връщане на изплатено междинно или окончателно плащане, когато ДФЗ установи, че получателят:</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17.1. или негов законен или упълномощен представител попада в някоя от категориите, определени в чл. 12, ал. 3 от Наредба № 22 на МЗХГ;</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17.2. попада в хипотезите по чл. 21 или 22 от Закона за предотвратяване и установяване на конфликт на интереси и/или представляващият получателя или член на управителния му орган, както и временно изпълняващ такава длъжност, е свързано лице по смисъла на § 1, т. 1 от допълнителната разпоредба на Закона за предотвратяване и установяване на конфликт на интереси с лице, заемащо публична длъжност в УО и/или РА, което е участвало при одобряването на проектното предложение от кандидат към стратегия за ВОМР или на искане за плащане.</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18. При неизпълнение на задължение по чл. 72 от Наредба № 22 на МЗХГ  ДФЗ писмено предупреждава получателя на помощта за констатираното неизпълнение и санкциите, които се налагат за този случай. Получателят на помощта може да отстрани </w:t>
      </w:r>
      <w:proofErr w:type="spellStart"/>
      <w:r w:rsidRPr="009C1C8E">
        <w:rPr>
          <w:rFonts w:ascii="Times New Roman" w:hAnsi="Times New Roman" w:cs="Times New Roman"/>
          <w:color w:val="000000"/>
          <w:sz w:val="24"/>
          <w:szCs w:val="24"/>
        </w:rPr>
        <w:t>нередовностите</w:t>
      </w:r>
      <w:proofErr w:type="spellEnd"/>
      <w:r w:rsidRPr="009C1C8E">
        <w:rPr>
          <w:rFonts w:ascii="Times New Roman" w:hAnsi="Times New Roman" w:cs="Times New Roman"/>
          <w:color w:val="000000"/>
          <w:sz w:val="24"/>
          <w:szCs w:val="24"/>
        </w:rPr>
        <w:t xml:space="preserve"> в едномесечен срок от получаване на писменото предупреждение. Срокът се смята спазен, ако информацията и/или документите са депозирани в деловодството на ДФЗ в посочения срок. Получателят на помощта не се санкционира, когато отстрани в срок </w:t>
      </w:r>
      <w:proofErr w:type="spellStart"/>
      <w:r w:rsidRPr="009C1C8E">
        <w:rPr>
          <w:rFonts w:ascii="Times New Roman" w:hAnsi="Times New Roman" w:cs="Times New Roman"/>
          <w:color w:val="000000"/>
          <w:sz w:val="24"/>
          <w:szCs w:val="24"/>
        </w:rPr>
        <w:t>нередовностите</w:t>
      </w:r>
      <w:proofErr w:type="spellEnd"/>
      <w:r w:rsidRPr="009C1C8E">
        <w:rPr>
          <w:rFonts w:ascii="Times New Roman" w:hAnsi="Times New Roman" w:cs="Times New Roman"/>
          <w:color w:val="000000"/>
          <w:sz w:val="24"/>
          <w:szCs w:val="24"/>
        </w:rPr>
        <w:t>. В случай на неизпълнение на задълженията в едномесечен срок получателят на помощта дължи връщане на получената помощ ведно със законната лихва към нея.</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19. Страните по договора не отговарят за неизпълнение на задължение, ако то се дължи на непреодолима сила или извънредно обстоятелство. В тези случаи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ІІІ. Контрол за спазване на критериите за допустимост, ангажименти и други задължения на получателите на финансова помощ и отговорност при установено неспазване</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 Контрол за изпълнение изискванията на условията за изпълнение, условията по  договора за предоставяне на финансова помощ, процедурите за възлагане на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 МИГ, ДФЗ, Министерството на земеделието, храните и горите, Сметната палата, Европейската комисия, Европейската сметна палата, Европейската служба за борба с измамите, Изпълнителната агенция „</w:t>
      </w:r>
      <w:proofErr w:type="spellStart"/>
      <w:r w:rsidRPr="009C1C8E">
        <w:rPr>
          <w:rFonts w:ascii="Times New Roman" w:hAnsi="Times New Roman" w:cs="Times New Roman"/>
          <w:color w:val="000000"/>
          <w:sz w:val="24"/>
          <w:szCs w:val="24"/>
        </w:rPr>
        <w:t>Сертификационен</w:t>
      </w:r>
      <w:proofErr w:type="spellEnd"/>
      <w:r w:rsidRPr="009C1C8E">
        <w:rPr>
          <w:rFonts w:ascii="Times New Roman" w:hAnsi="Times New Roman" w:cs="Times New Roman"/>
          <w:color w:val="000000"/>
          <w:sz w:val="24"/>
          <w:szCs w:val="24"/>
        </w:rPr>
        <w:t xml:space="preserve"> одит на средствата от европейските земеделски фондове“ и др.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2. На контрол по т. 1 подлежат получателите на финансова помощ, както и техните контрагенти по подпомаганите дейности.</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3. 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w:t>
      </w:r>
      <w:proofErr w:type="spellStart"/>
      <w:r w:rsidRPr="009C1C8E">
        <w:rPr>
          <w:rFonts w:ascii="Times New Roman" w:hAnsi="Times New Roman" w:cs="Times New Roman"/>
          <w:color w:val="000000"/>
          <w:sz w:val="24"/>
          <w:szCs w:val="24"/>
        </w:rPr>
        <w:t>оправомощените</w:t>
      </w:r>
      <w:proofErr w:type="spellEnd"/>
      <w:r w:rsidRPr="009C1C8E">
        <w:rPr>
          <w:rFonts w:ascii="Times New Roman" w:hAnsi="Times New Roman" w:cs="Times New Roman"/>
          <w:color w:val="000000"/>
          <w:sz w:val="24"/>
          <w:szCs w:val="24"/>
        </w:rPr>
        <w:t xml:space="preserve"> от тях лица всички документи и информация, които ще подпомогнат оценяването или наблюдението.</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4. Когато след извършване на окончателното плащане получателят на финансова помощ не спазва критерии за допустимост или не изпълнява ангажимент или друго задължение, посочено в настоящите условия, административния договор или приложим нормативен акт, ДФЗ оттегля предоставеното подпомагане, като получателите на финансова помощ са длъжни да възстановят цялата или част от изплатената финансова помощ в размери, съгласно посоченото в административния договор.</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5. Държавен фонд „Земеделие“ определя размера на подлежащите на възстановяване суми по т. 4, като дава възможност на получателите на финансова помощ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ДФЗ сума и/или по отношение на нейния размер.</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 xml:space="preserve">6. За установяване </w:t>
      </w:r>
      <w:proofErr w:type="spellStart"/>
      <w:r w:rsidRPr="009C1C8E">
        <w:rPr>
          <w:rFonts w:ascii="Times New Roman" w:hAnsi="Times New Roman" w:cs="Times New Roman"/>
          <w:color w:val="000000"/>
          <w:sz w:val="24"/>
          <w:szCs w:val="24"/>
        </w:rPr>
        <w:t>дължимостта</w:t>
      </w:r>
      <w:proofErr w:type="spellEnd"/>
      <w:r w:rsidRPr="009C1C8E">
        <w:rPr>
          <w:rFonts w:ascii="Times New Roman" w:hAnsi="Times New Roman" w:cs="Times New Roman"/>
          <w:color w:val="000000"/>
          <w:sz w:val="24"/>
          <w:szCs w:val="24"/>
        </w:rPr>
        <w:t xml:space="preserve"> на подлежащата на възстановяване сума по т. 4 и 5 изпълнителният директор на ДФЗ издава акт по чл. 166, ал. 2 от Данъчно-осигурителния процесуален кодекс.</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7. Когато установеното неспазване по т. 4 попада в хипотеза, посочена в чл. 70, ал. 1 от ЗУСЕСИФ, респ.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ДФЗ налага финансова корекция по проекта на получателя на финансова помощ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2014г.).</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8. Освен оттегляне на подпомагането по т. 4 и/или налагането на финансова корекция по т. 7 ДФЗ налага административни санкции на получателя на финансова помощ, произтичащи от установеното неспазване, в изрично посочените в приложим акт </w:t>
      </w:r>
      <w:proofErr w:type="spellStart"/>
      <w:r w:rsidRPr="009C1C8E">
        <w:rPr>
          <w:rFonts w:ascii="Times New Roman" w:hAnsi="Times New Roman" w:cs="Times New Roman"/>
          <w:color w:val="000000"/>
          <w:sz w:val="24"/>
          <w:szCs w:val="24"/>
        </w:rPr>
        <w:t>отЕвропейскотоправослучаи</w:t>
      </w:r>
      <w:proofErr w:type="spellEnd"/>
      <w:r w:rsidRPr="009C1C8E">
        <w:rPr>
          <w:rFonts w:ascii="Times New Roman" w:hAnsi="Times New Roman" w:cs="Times New Roman"/>
          <w:color w:val="000000"/>
          <w:sz w:val="24"/>
          <w:szCs w:val="24"/>
        </w:rPr>
        <w:t xml:space="preserve">. </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9. Сумите по определените, но неизвършени финансови корекции, както и подлежащите на възстановяване суми, определени с акт по чл. 166, ал. 2 от Данъчно-осигурителния процесуален кодекс, се удовлетворяват по ред, посочен в административния договор и в действащото законодателство. </w:t>
      </w:r>
    </w:p>
    <w:p w:rsidR="009C1C8E" w:rsidRPr="009C1C8E" w:rsidRDefault="009C1C8E" w:rsidP="009C1C8E">
      <w:pPr>
        <w:pBdr>
          <w:top w:val="single" w:sz="4" w:space="1" w:color="auto"/>
          <w:left w:val="single" w:sz="4" w:space="0"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10. Получателите на финансова помощ не отговарят за неспазване на критерий за допустимост или за неспазване на ангажимент или друго задължение, когато то се дължи на непреодолима сила или извънредни обстоятелства при спазване на изискванията за това, посочени в административния договор.</w:t>
      </w:r>
    </w:p>
    <w:p w:rsidR="009C1C8E" w:rsidRPr="009C1C8E" w:rsidRDefault="009C1C8E" w:rsidP="009C1C8E">
      <w:pPr>
        <w:rPr>
          <w:rFonts w:ascii="Times New Roman" w:hAnsi="Times New Roman" w:cs="Times New Roman"/>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rPr>
          <w:rFonts w:ascii="Times New Roman" w:hAnsi="Times New Roman" w:cs="Times New Roman"/>
          <w:b/>
          <w:bCs/>
          <w:color w:val="000000"/>
          <w:sz w:val="24"/>
          <w:szCs w:val="24"/>
        </w:rPr>
      </w:pPr>
      <w:r w:rsidRPr="009C1C8E">
        <w:rPr>
          <w:rFonts w:ascii="Times New Roman" w:hAnsi="Times New Roman" w:cs="Times New Roman"/>
          <w:b/>
          <w:bCs/>
          <w:color w:val="000000"/>
          <w:sz w:val="24"/>
          <w:szCs w:val="24"/>
        </w:rPr>
        <w:t>ІV. Изменение и прекратяване на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rPr>
          <w:rFonts w:ascii="Times New Roman" w:hAnsi="Times New Roman" w:cs="Times New Roman"/>
          <w:b/>
          <w:bCs/>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Cs/>
          <w:color w:val="000000"/>
          <w:sz w:val="24"/>
          <w:szCs w:val="24"/>
        </w:rPr>
      </w:pPr>
      <w:r w:rsidRPr="009C1C8E">
        <w:rPr>
          <w:rFonts w:ascii="Times New Roman" w:hAnsi="Times New Roman" w:cs="Times New Roman"/>
          <w:bCs/>
          <w:color w:val="000000"/>
          <w:sz w:val="24"/>
          <w:szCs w:val="24"/>
        </w:rPr>
        <w:t xml:space="preserve">1. </w:t>
      </w:r>
      <w:proofErr w:type="spellStart"/>
      <w:r w:rsidRPr="009C1C8E">
        <w:rPr>
          <w:rFonts w:ascii="Times New Roman" w:hAnsi="Times New Roman" w:cs="Times New Roman"/>
          <w:bCs/>
          <w:color w:val="000000"/>
          <w:sz w:val="24"/>
          <w:szCs w:val="24"/>
        </w:rPr>
        <w:t>Административниятдоговор</w:t>
      </w:r>
      <w:proofErr w:type="spellEnd"/>
      <w:r w:rsidRPr="009C1C8E">
        <w:rPr>
          <w:rFonts w:ascii="Times New Roman" w:hAnsi="Times New Roman" w:cs="Times New Roman"/>
          <w:bCs/>
          <w:color w:val="000000"/>
          <w:sz w:val="24"/>
          <w:szCs w:val="24"/>
        </w:rPr>
        <w:t>, включително одобреният с него проект, може да бъде изменян и допълван при условията на чл. 39, ал. 1, 2 и 3 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bCs/>
          <w:color w:val="000000"/>
          <w:sz w:val="24"/>
          <w:szCs w:val="24"/>
        </w:rPr>
        <w:t>2. Административният договор се прекратява на основанията, посочени в  ЗУСЕСИФ и на изрично предвидените в самия договор основания.</w:t>
      </w:r>
    </w:p>
    <w:p w:rsidR="009C1C8E" w:rsidRPr="009C1C8E" w:rsidRDefault="009C1C8E" w:rsidP="009C1C8E">
      <w:pPr>
        <w:pStyle w:val="a3"/>
        <w:spacing w:after="0" w:line="300" w:lineRule="atLeast"/>
        <w:jc w:val="both"/>
        <w:rPr>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
          <w:color w:val="000000"/>
          <w:sz w:val="24"/>
          <w:szCs w:val="24"/>
        </w:rPr>
      </w:pPr>
      <w:r w:rsidRPr="009C1C8E">
        <w:rPr>
          <w:rFonts w:ascii="Times New Roman" w:hAnsi="Times New Roman" w:cs="Times New Roman"/>
          <w:b/>
          <w:color w:val="000000"/>
          <w:sz w:val="24"/>
          <w:szCs w:val="24"/>
        </w:rPr>
        <w:t>Б. Финансово изпълнение на проектите и плащане</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 Финансовата помощ се изплаща след извършване на дейностите по проекта.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2.Финансовата помощ по проект може да бъде изплащана авансово, междинно и окончателно.</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3.За инвестиционни проекти е допустимо авансово плащане в съответствие с чл. 45 от Регламент (EC) № 1305/2013 и при спазване на условията на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4. Допустимо е авансово плащане в размер до 50 на сто от стойността на одобрената финансова помощ по проекта и се изплаща при условията и по реда на сключения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5. Авансово плащане е допустимо, ако надвишава левовата равностойност на 2 000 евро и е в размер до 50 на сто от публичната помощ, свързана с инвестицията. Получател, който е възложител по чл. 5 и 6 от Закона за обществените поръчки, може да заяви авансово плащане не по-късно от шест месеца след съгласуване на обществената поръчка и сключване на допълнително споразумение към договора за предоставяне на финансовата помощ за вписване на избрания изпълнител. Авансово плащане е допустимо не повече от един път за периода на изпълнение на проекта.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lastRenderedPageBreak/>
        <w:t xml:space="preserve"> 6. Авансово плащане може да бъде заявено не по-рано от 10 работни дни и не по-късно от 6 месеца от датата на сключване на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 7. При авансово плащане получателят представя банкова гаранция в полза на ДФЗ в размер 100 на сто от стойността на авансовото плащане, когато това е предвидено в </w:t>
      </w:r>
      <w:proofErr w:type="spellStart"/>
      <w:r w:rsidRPr="009C1C8E">
        <w:rPr>
          <w:rFonts w:ascii="Times New Roman" w:hAnsi="Times New Roman" w:cs="Times New Roman"/>
          <w:color w:val="000000"/>
          <w:sz w:val="24"/>
          <w:szCs w:val="24"/>
        </w:rPr>
        <w:t>админстративния</w:t>
      </w:r>
      <w:proofErr w:type="spellEnd"/>
      <w:r w:rsidRPr="009C1C8E">
        <w:rPr>
          <w:rFonts w:ascii="Times New Roman" w:hAnsi="Times New Roman" w:cs="Times New Roman"/>
          <w:color w:val="000000"/>
          <w:sz w:val="24"/>
          <w:szCs w:val="24"/>
        </w:rPr>
        <w:t xml:space="preserve"> договор.</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8.Междинно плащане се извършва при условие, че такова е заявено от кандидата/ползвателя и е предвидено в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9. Междинно плащане е допустимо не повече от един път за периода на изпълнение на проекта, а в случай на проекти с включени строително-монтажни работи – не повече от два пъти за периода на изпълнение на проекта.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10. Междинното плащане е допустимо за одобрена обособена част от инвестицията, като същото може да бъде заявено не по-късно от четири месеца преди изтичане на крайния срок за извършване на инвестицията по договора за предоставяне на финансова помощ.</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11. Безвъзмездната финансова помощ се изплаща след извършване на цялата инвестиция чрез окончателно плащане. </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12. Окончателно плащане се заявява след извършване на дейностите по проекта, но не по-късно от един месец след изтичане на срока за изпълнението му, определен в договора.</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 xml:space="preserve">13. Безвъзмездната финансов помощ не се изплаща, а изплатената финансова помощ подлежи на възстановяване от получател на финансова помощ, за който е установено, че е създал изкуствено условията, необходими за получаване на помощта, с цел осъществяване на предимство в противоречие с целите на </w:t>
      </w:r>
      <w:proofErr w:type="spellStart"/>
      <w:r w:rsidRPr="009C1C8E">
        <w:rPr>
          <w:rFonts w:ascii="Times New Roman" w:hAnsi="Times New Roman" w:cs="Times New Roman"/>
          <w:color w:val="000000"/>
          <w:sz w:val="24"/>
          <w:szCs w:val="24"/>
        </w:rPr>
        <w:t>подмярката</w:t>
      </w:r>
      <w:proofErr w:type="spellEnd"/>
      <w:r w:rsidRPr="009C1C8E">
        <w:rPr>
          <w:rFonts w:ascii="Times New Roman" w:hAnsi="Times New Roman" w:cs="Times New Roman"/>
          <w:color w:val="000000"/>
          <w:sz w:val="24"/>
          <w:szCs w:val="24"/>
        </w:rPr>
        <w:t>.</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r w:rsidRPr="009C1C8E">
        <w:rPr>
          <w:rFonts w:ascii="Times New Roman" w:hAnsi="Times New Roman" w:cs="Times New Roman"/>
          <w:color w:val="000000"/>
          <w:sz w:val="24"/>
          <w:szCs w:val="24"/>
        </w:rPr>
        <w:t>14. Безвъзмездната финансова помощ се изплаща при условие, че към датата на подаване на искането за окончателно плащане получателят на финансова помощ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b/>
          <w:color w:val="000000"/>
          <w:sz w:val="24"/>
          <w:szCs w:val="24"/>
        </w:rPr>
      </w:pPr>
      <w:r w:rsidRPr="009C1C8E">
        <w:rPr>
          <w:rFonts w:ascii="Times New Roman" w:hAnsi="Times New Roman" w:cs="Times New Roman"/>
          <w:color w:val="000000"/>
          <w:sz w:val="24"/>
          <w:szCs w:val="24"/>
        </w:rPr>
        <w:lastRenderedPageBreak/>
        <w:t xml:space="preserve">Редът и условията за изплащане на финансовата помощ се уреждат с административния договор за предоставяне на безвъзмездна финансова помощ и в </w:t>
      </w:r>
      <w:r w:rsidRPr="009C1C8E">
        <w:rPr>
          <w:rFonts w:ascii="Times New Roman" w:hAnsi="Times New Roman" w:cs="Times New Roman"/>
          <w:sz w:val="24"/>
          <w:szCs w:val="24"/>
        </w:rPr>
        <w:t xml:space="preserve">НАРЕДБА № 4 от 30 май 2018 г.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9C1C8E">
        <w:rPr>
          <w:rFonts w:ascii="Times New Roman" w:hAnsi="Times New Roman" w:cs="Times New Roman"/>
          <w:sz w:val="24"/>
          <w:szCs w:val="24"/>
        </w:rPr>
        <w:t>подмерките</w:t>
      </w:r>
      <w:proofErr w:type="spellEnd"/>
      <w:r w:rsidRPr="009C1C8E">
        <w:rPr>
          <w:rFonts w:ascii="Times New Roman" w:hAnsi="Times New Roman" w:cs="Times New Roman"/>
          <w:sz w:val="24"/>
          <w:szCs w:val="24"/>
        </w:rPr>
        <w:t xml:space="preserve"> по чл. 9б, т. 2 от Закона за подпомагане на земеделските производители</w:t>
      </w:r>
      <w:r w:rsidRPr="009C1C8E">
        <w:rPr>
          <w:rFonts w:ascii="Times New Roman" w:hAnsi="Times New Roman" w:cs="Times New Roman"/>
          <w:color w:val="000000"/>
          <w:sz w:val="24"/>
          <w:szCs w:val="24"/>
        </w:rPr>
        <w:t>.</w:t>
      </w:r>
    </w:p>
    <w:p w:rsidR="009C1C8E" w:rsidRPr="009C1C8E" w:rsidRDefault="009C1C8E" w:rsidP="009C1C8E">
      <w:pPr>
        <w:pBdr>
          <w:top w:val="single" w:sz="4" w:space="1" w:color="auto"/>
          <w:left w:val="single" w:sz="4" w:space="1" w:color="auto"/>
          <w:bottom w:val="single" w:sz="4" w:space="1" w:color="auto"/>
          <w:right w:val="single" w:sz="4" w:space="1" w:color="auto"/>
        </w:pBdr>
        <w:shd w:val="clear" w:color="auto" w:fill="FEFEFE"/>
        <w:ind w:firstLine="720"/>
        <w:jc w:val="both"/>
        <w:rPr>
          <w:rFonts w:ascii="Times New Roman" w:hAnsi="Times New Roman" w:cs="Times New Roman"/>
          <w:color w:val="000000"/>
          <w:sz w:val="24"/>
          <w:szCs w:val="24"/>
        </w:rPr>
      </w:pPr>
    </w:p>
    <w:p w:rsidR="009C1C8E" w:rsidRPr="009C1C8E" w:rsidRDefault="009C1C8E" w:rsidP="009C1C8E">
      <w:pPr>
        <w:pStyle w:val="a3"/>
        <w:spacing w:after="0" w:line="300" w:lineRule="atLeast"/>
        <w:jc w:val="both"/>
        <w:rPr>
          <w:szCs w:val="24"/>
        </w:rPr>
      </w:pPr>
    </w:p>
    <w:p w:rsidR="009C1C8E" w:rsidRPr="009C1C8E" w:rsidRDefault="009C1C8E" w:rsidP="009C1C8E">
      <w:pPr>
        <w:keepNext/>
        <w:keepLines/>
        <w:pBdr>
          <w:top w:val="single" w:sz="4" w:space="1" w:color="auto"/>
          <w:left w:val="single" w:sz="4" w:space="4" w:color="auto"/>
          <w:bottom w:val="single" w:sz="4" w:space="1" w:color="auto"/>
          <w:right w:val="single" w:sz="4" w:space="4" w:color="auto"/>
        </w:pBdr>
        <w:ind w:firstLine="720"/>
        <w:jc w:val="both"/>
        <w:outlineLvl w:val="0"/>
        <w:rPr>
          <w:rFonts w:ascii="Times New Roman" w:hAnsi="Times New Roman" w:cs="Times New Roman"/>
          <w:b/>
          <w:bCs/>
          <w:sz w:val="24"/>
          <w:szCs w:val="24"/>
        </w:rPr>
      </w:pPr>
      <w:r w:rsidRPr="009C1C8E">
        <w:rPr>
          <w:rFonts w:ascii="Times New Roman" w:hAnsi="Times New Roman" w:cs="Times New Roman"/>
          <w:b/>
          <w:bCs/>
          <w:sz w:val="24"/>
          <w:szCs w:val="24"/>
        </w:rPr>
        <w:t>В. Мерки за информираност и публичност</w:t>
      </w:r>
    </w:p>
    <w:p w:rsidR="009C1C8E" w:rsidRPr="009C1C8E" w:rsidRDefault="009C1C8E" w:rsidP="009C1C8E">
      <w:pPr>
        <w:keepNext/>
        <w:keepLines/>
        <w:pBdr>
          <w:top w:val="single" w:sz="4" w:space="1" w:color="auto"/>
          <w:left w:val="single" w:sz="4" w:space="4" w:color="auto"/>
          <w:bottom w:val="single" w:sz="4" w:space="1" w:color="auto"/>
          <w:right w:val="single" w:sz="4" w:space="4" w:color="auto"/>
        </w:pBdr>
        <w:ind w:firstLine="720"/>
        <w:jc w:val="both"/>
        <w:outlineLvl w:val="0"/>
        <w:rPr>
          <w:rFonts w:ascii="Times New Roman" w:hAnsi="Times New Roman" w:cs="Times New Roman"/>
          <w:sz w:val="24"/>
          <w:szCs w:val="24"/>
          <w:shd w:val="clear" w:color="auto" w:fill="FEFEFE"/>
        </w:rPr>
      </w:pPr>
      <w:r w:rsidRPr="009C1C8E">
        <w:rPr>
          <w:rFonts w:ascii="Times New Roman" w:hAnsi="Times New Roman" w:cs="Times New Roman"/>
          <w:bCs/>
          <w:sz w:val="24"/>
          <w:szCs w:val="24"/>
        </w:rPr>
        <w:t>Получателите на финансова помощ при изпълнение на стратегията за ВОМР са длъжни да осигурят публичност на дейността си източниците на финансиране съгласно г</w:t>
      </w:r>
      <w:r w:rsidRPr="009C1C8E">
        <w:rPr>
          <w:rStyle w:val="Bodytext3"/>
          <w:rFonts w:ascii="Times New Roman" w:hAnsi="Times New Roman" w:cs="Times New Roman"/>
          <w:bCs/>
          <w:color w:val="000000"/>
          <w:sz w:val="24"/>
          <w:szCs w:val="24"/>
        </w:rPr>
        <w:t xml:space="preserve">лава пета ИНФОРМИРАНОСТ И ПУБЛИЧНОСТ </w:t>
      </w:r>
      <w:r w:rsidRPr="009C1C8E">
        <w:rPr>
          <w:rFonts w:ascii="Times New Roman" w:hAnsi="Times New Roman" w:cs="Times New Roman"/>
          <w:sz w:val="24"/>
          <w:szCs w:val="24"/>
          <w:highlight w:val="white"/>
          <w:shd w:val="clear" w:color="auto" w:fill="FEFEFE"/>
        </w:rPr>
        <w:t xml:space="preserve">от Наредба № 22 </w:t>
      </w:r>
      <w:r w:rsidRPr="009C1C8E">
        <w:rPr>
          <w:rFonts w:ascii="Times New Roman" w:hAnsi="Times New Roman" w:cs="Times New Roman"/>
          <w:sz w:val="24"/>
          <w:szCs w:val="24"/>
          <w:shd w:val="clear" w:color="auto" w:fill="FEFEFE"/>
        </w:rPr>
        <w:t>на МЗХГ.</w:t>
      </w:r>
    </w:p>
    <w:p w:rsidR="009C1C8E" w:rsidRPr="009C1C8E" w:rsidRDefault="009C1C8E" w:rsidP="009C1C8E">
      <w:pPr>
        <w:pBdr>
          <w:top w:val="single" w:sz="4" w:space="1" w:color="auto"/>
          <w:left w:val="single" w:sz="4" w:space="4" w:color="auto"/>
          <w:bottom w:val="single" w:sz="4" w:space="1" w:color="auto"/>
          <w:right w:val="single" w:sz="4" w:space="4" w:color="auto"/>
        </w:pBdr>
        <w:ind w:firstLine="720"/>
        <w:jc w:val="both"/>
        <w:rPr>
          <w:rFonts w:ascii="Times New Roman" w:hAnsi="Times New Roman" w:cs="Times New Roman"/>
          <w:sz w:val="24"/>
          <w:szCs w:val="24"/>
        </w:rPr>
      </w:pPr>
      <w:r w:rsidRPr="009C1C8E">
        <w:rPr>
          <w:rFonts w:ascii="Times New Roman" w:hAnsi="Times New Roman" w:cs="Times New Roman"/>
          <w:sz w:val="24"/>
          <w:szCs w:val="24"/>
        </w:rPr>
        <w:t>Получателите на финансова помощ се задължават от датата на сключване на административния договор до крайната дата за изпълнение на одобрения проект да поставят на видно за обществеността място:</w:t>
      </w:r>
    </w:p>
    <w:p w:rsidR="009C1C8E" w:rsidRPr="009C1C8E" w:rsidRDefault="009C1C8E" w:rsidP="009C1C8E">
      <w:pPr>
        <w:pBdr>
          <w:top w:val="single" w:sz="4" w:space="1" w:color="auto"/>
          <w:left w:val="single" w:sz="4" w:space="4" w:color="auto"/>
          <w:bottom w:val="single" w:sz="4" w:space="1" w:color="auto"/>
          <w:right w:val="single" w:sz="4" w:space="4" w:color="auto"/>
        </w:pBdr>
        <w:ind w:firstLine="720"/>
        <w:jc w:val="both"/>
        <w:rPr>
          <w:rFonts w:ascii="Times New Roman" w:hAnsi="Times New Roman" w:cs="Times New Roman"/>
          <w:sz w:val="24"/>
          <w:szCs w:val="24"/>
        </w:rPr>
      </w:pPr>
      <w:r w:rsidRPr="009C1C8E">
        <w:rPr>
          <w:rFonts w:ascii="Times New Roman" w:hAnsi="Times New Roman" w:cs="Times New Roman"/>
          <w:sz w:val="24"/>
          <w:szCs w:val="24"/>
        </w:rPr>
        <w:t>а)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9C1C8E" w:rsidRPr="009C1C8E" w:rsidRDefault="009C1C8E" w:rsidP="009C1C8E">
      <w:pPr>
        <w:pBdr>
          <w:top w:val="single" w:sz="4" w:space="1" w:color="auto"/>
          <w:left w:val="single" w:sz="4" w:space="4" w:color="auto"/>
          <w:bottom w:val="single" w:sz="4" w:space="1" w:color="auto"/>
          <w:right w:val="single" w:sz="4" w:space="4" w:color="auto"/>
        </w:pBdr>
        <w:ind w:firstLine="720"/>
        <w:jc w:val="both"/>
        <w:rPr>
          <w:rFonts w:ascii="Times New Roman" w:hAnsi="Times New Roman" w:cs="Times New Roman"/>
          <w:sz w:val="24"/>
          <w:szCs w:val="24"/>
        </w:rPr>
      </w:pPr>
      <w:r w:rsidRPr="009C1C8E">
        <w:rPr>
          <w:rFonts w:ascii="Times New Roman" w:hAnsi="Times New Roman" w:cs="Times New Roman"/>
          <w:sz w:val="24"/>
          <w:szCs w:val="24"/>
        </w:rPr>
        <w:t>б)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9C1C8E" w:rsidRPr="009C1C8E" w:rsidRDefault="009C1C8E" w:rsidP="009C1C8E">
      <w:pPr>
        <w:pBdr>
          <w:top w:val="single" w:sz="4" w:space="1" w:color="auto"/>
          <w:left w:val="single" w:sz="4" w:space="4" w:color="auto"/>
          <w:bottom w:val="single" w:sz="4" w:space="1" w:color="auto"/>
          <w:right w:val="single" w:sz="4" w:space="4" w:color="auto"/>
        </w:pBdr>
        <w:ind w:firstLine="720"/>
        <w:jc w:val="both"/>
        <w:rPr>
          <w:rFonts w:ascii="Times New Roman" w:hAnsi="Times New Roman" w:cs="Times New Roman"/>
          <w:sz w:val="24"/>
          <w:szCs w:val="24"/>
        </w:rPr>
      </w:pPr>
      <w:r w:rsidRPr="009C1C8E">
        <w:rPr>
          <w:rFonts w:ascii="Times New Roman" w:hAnsi="Times New Roman" w:cs="Times New Roman"/>
          <w:sz w:val="24"/>
          <w:szCs w:val="24"/>
        </w:rPr>
        <w:t>Получателите на финансова помощ се задължават да включват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9C1C8E" w:rsidRPr="009C1C8E" w:rsidRDefault="009C1C8E" w:rsidP="009C1C8E">
      <w:pPr>
        <w:pBdr>
          <w:top w:val="single" w:sz="4" w:space="1" w:color="auto"/>
          <w:left w:val="single" w:sz="4" w:space="4" w:color="auto"/>
          <w:bottom w:val="single" w:sz="4" w:space="1" w:color="auto"/>
          <w:right w:val="single" w:sz="4" w:space="4" w:color="auto"/>
        </w:pBdr>
        <w:ind w:firstLine="720"/>
        <w:jc w:val="both"/>
        <w:rPr>
          <w:rFonts w:ascii="Times New Roman" w:hAnsi="Times New Roman" w:cs="Times New Roman"/>
          <w:sz w:val="24"/>
          <w:szCs w:val="24"/>
        </w:rPr>
      </w:pPr>
      <w:r w:rsidRPr="009C1C8E">
        <w:rPr>
          <w:rFonts w:ascii="Times New Roman" w:hAnsi="Times New Roman" w:cs="Times New Roman"/>
          <w:sz w:val="24"/>
          <w:szCs w:val="24"/>
        </w:rPr>
        <w:t xml:space="preserve">Електронната страница, плакатът или табелата 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w:t>
      </w:r>
      <w:r w:rsidRPr="009C1C8E">
        <w:rPr>
          <w:rFonts w:ascii="Times New Roman" w:hAnsi="Times New Roman" w:cs="Times New Roman"/>
          <w:sz w:val="24"/>
          <w:szCs w:val="24"/>
        </w:rPr>
        <w:lastRenderedPageBreak/>
        <w:t>райони.“Информацията  заема не по-малко от 25 на сто от плаката, табелата, билборда или електронната страница.</w:t>
      </w:r>
    </w:p>
    <w:p w:rsidR="009C1C8E" w:rsidRPr="009C1C8E" w:rsidRDefault="009C1C8E" w:rsidP="009C1C8E">
      <w:pPr>
        <w:pBdr>
          <w:top w:val="single" w:sz="4" w:space="1" w:color="auto"/>
          <w:left w:val="single" w:sz="4" w:space="4" w:color="auto"/>
          <w:bottom w:val="single" w:sz="4" w:space="1" w:color="auto"/>
          <w:right w:val="single" w:sz="4" w:space="4" w:color="auto"/>
        </w:pBdr>
        <w:shd w:val="clear" w:color="auto" w:fill="FEFEFE"/>
        <w:ind w:firstLine="720"/>
        <w:jc w:val="both"/>
        <w:rPr>
          <w:rFonts w:ascii="Times New Roman" w:hAnsi="Times New Roman" w:cs="Times New Roman"/>
          <w:sz w:val="24"/>
          <w:szCs w:val="24"/>
        </w:rPr>
      </w:pPr>
      <w:r w:rsidRPr="009C1C8E">
        <w:rPr>
          <w:rFonts w:ascii="Times New Roman" w:hAnsi="Times New Roman" w:cs="Times New Roman"/>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9C1C8E" w:rsidRPr="009C1C8E" w:rsidRDefault="009C1C8E" w:rsidP="009C1C8E">
      <w:pPr>
        <w:rPr>
          <w:rFonts w:ascii="Times New Roman" w:hAnsi="Times New Roman" w:cs="Times New Roman"/>
          <w:sz w:val="24"/>
          <w:szCs w:val="24"/>
        </w:rPr>
      </w:pPr>
    </w:p>
    <w:p w:rsidR="009A57BB" w:rsidRPr="009A57BB" w:rsidRDefault="009A57BB" w:rsidP="009A57BB">
      <w:pPr>
        <w:rPr>
          <w:rFonts w:ascii="Times New Roman" w:hAnsi="Times New Roman" w:cs="Times New Roman"/>
          <w:b/>
          <w:sz w:val="24"/>
          <w:szCs w:val="24"/>
        </w:rPr>
      </w:pPr>
      <w:r w:rsidRPr="009A57BB">
        <w:rPr>
          <w:rFonts w:ascii="Times New Roman" w:hAnsi="Times New Roman" w:cs="Times New Roman"/>
          <w:b/>
          <w:sz w:val="24"/>
          <w:szCs w:val="24"/>
        </w:rPr>
        <w:t>Г. Приложения към условията за изпълнение</w:t>
      </w:r>
    </w:p>
    <w:p w:rsidR="009A57BB" w:rsidRPr="009A57BB" w:rsidRDefault="009A57BB" w:rsidP="009A57BB">
      <w:pPr>
        <w:rPr>
          <w:rFonts w:ascii="Times New Roman" w:hAnsi="Times New Roman" w:cs="Times New Roman"/>
          <w:sz w:val="24"/>
          <w:szCs w:val="24"/>
        </w:rPr>
      </w:pPr>
      <w:bookmarkStart w:id="1" w:name="_GoBack"/>
      <w:bookmarkEnd w:id="1"/>
      <w:r w:rsidRPr="009A57BB">
        <w:rPr>
          <w:rFonts w:ascii="Times New Roman" w:hAnsi="Times New Roman" w:cs="Times New Roman"/>
          <w:sz w:val="24"/>
          <w:szCs w:val="24"/>
        </w:rPr>
        <w:t>Приложение № 1: ДОКУМЕНТИ КЪМ ИСКАНЕ ЗА МЕЖДИННО/ОКОНЧАТЕЛНО ПЛАЩАНЕ ПО ПОДМЯРКА 19.2</w:t>
      </w:r>
    </w:p>
    <w:p w:rsidR="009A57BB" w:rsidRPr="009A57BB" w:rsidRDefault="009A57BB" w:rsidP="009A57BB">
      <w:pPr>
        <w:rPr>
          <w:rFonts w:ascii="Times New Roman" w:hAnsi="Times New Roman" w:cs="Times New Roman"/>
          <w:sz w:val="24"/>
          <w:szCs w:val="24"/>
        </w:rPr>
      </w:pPr>
      <w:r w:rsidRPr="009A57BB">
        <w:rPr>
          <w:rFonts w:ascii="Times New Roman" w:hAnsi="Times New Roman" w:cs="Times New Roman"/>
          <w:sz w:val="24"/>
          <w:szCs w:val="24"/>
        </w:rPr>
        <w:t>Приложение № 2: Декларация на кандидата за отсъствие на обстоятелствата по чл. 25, ал. 2 от ЗУСЕСИФ;</w:t>
      </w:r>
    </w:p>
    <w:p w:rsidR="009A57BB" w:rsidRPr="009A57BB" w:rsidRDefault="009A57BB" w:rsidP="009A57BB">
      <w:pPr>
        <w:rPr>
          <w:rFonts w:ascii="Times New Roman" w:hAnsi="Times New Roman" w:cs="Times New Roman"/>
          <w:sz w:val="24"/>
          <w:szCs w:val="24"/>
        </w:rPr>
      </w:pPr>
      <w:r w:rsidRPr="009A57BB">
        <w:rPr>
          <w:rFonts w:ascii="Times New Roman" w:hAnsi="Times New Roman" w:cs="Times New Roman"/>
          <w:sz w:val="24"/>
          <w:szCs w:val="24"/>
        </w:rPr>
        <w:t>Приложение № 3: ДЕКЛАРАЦИЯ – ДДС;</w:t>
      </w:r>
    </w:p>
    <w:p w:rsidR="009A57BB" w:rsidRPr="009A57BB" w:rsidRDefault="009A57BB" w:rsidP="009A57BB">
      <w:pPr>
        <w:rPr>
          <w:rFonts w:ascii="Times New Roman" w:hAnsi="Times New Roman" w:cs="Times New Roman"/>
          <w:sz w:val="24"/>
          <w:szCs w:val="24"/>
        </w:rPr>
      </w:pPr>
      <w:r w:rsidRPr="009A57BB">
        <w:rPr>
          <w:rFonts w:ascii="Times New Roman" w:hAnsi="Times New Roman" w:cs="Times New Roman"/>
          <w:sz w:val="24"/>
          <w:szCs w:val="24"/>
        </w:rPr>
        <w:t>Приложение № 4: ДЕКЛАРАЦИЯ ЗА ОПАЗВАНЕ НА ОКОЛНАТА СРЕДА, ВКЛЮЧИТЕЛНО НАМАЛЯВАНЕ НА ВРЕДНИ ЕМИСИИ И ОТПАДЪЦИ;</w:t>
      </w:r>
    </w:p>
    <w:p w:rsidR="009A57BB" w:rsidRPr="009A57BB" w:rsidRDefault="009A57BB" w:rsidP="009A57BB">
      <w:pPr>
        <w:rPr>
          <w:rFonts w:ascii="Times New Roman" w:hAnsi="Times New Roman" w:cs="Times New Roman"/>
          <w:sz w:val="24"/>
          <w:szCs w:val="24"/>
        </w:rPr>
      </w:pPr>
      <w:r w:rsidRPr="009A57BB">
        <w:rPr>
          <w:rFonts w:ascii="Times New Roman" w:hAnsi="Times New Roman" w:cs="Times New Roman"/>
          <w:sz w:val="24"/>
          <w:szCs w:val="24"/>
        </w:rPr>
        <w:t>Приложение № 5: ДЕКЛАРАЦИЯ ЗА ПОДОБРЯВАНЕ НА БЕЗОПАСНОСТТА И ХИГИЕННИТЕ УСЛОВИЯ НА ПРОИЗВОДСТВО И ТРУД;</w:t>
      </w:r>
    </w:p>
    <w:p w:rsidR="009A57BB" w:rsidRPr="009A57BB" w:rsidRDefault="009A57BB" w:rsidP="009A57BB">
      <w:pPr>
        <w:rPr>
          <w:rFonts w:ascii="Times New Roman" w:hAnsi="Times New Roman" w:cs="Times New Roman"/>
          <w:sz w:val="24"/>
          <w:szCs w:val="24"/>
        </w:rPr>
      </w:pPr>
      <w:r w:rsidRPr="009A57BB">
        <w:rPr>
          <w:rFonts w:ascii="Times New Roman" w:hAnsi="Times New Roman" w:cs="Times New Roman"/>
          <w:sz w:val="24"/>
          <w:szCs w:val="24"/>
        </w:rPr>
        <w:t>Приложение № 6: ДЕКЛАРАЦИЯ ЗА СЪОТВЕТСТВИЕ С ВСИЧКИ ЗАДЪЛЖИТЕЛНИ СТАНДАРТИ;</w:t>
      </w:r>
    </w:p>
    <w:p w:rsidR="009A57BB" w:rsidRPr="009A57BB" w:rsidRDefault="009A57BB" w:rsidP="009A57BB">
      <w:pPr>
        <w:rPr>
          <w:rFonts w:ascii="Times New Roman" w:hAnsi="Times New Roman" w:cs="Times New Roman"/>
          <w:sz w:val="24"/>
          <w:szCs w:val="24"/>
        </w:rPr>
      </w:pPr>
      <w:r w:rsidRPr="009A57BB">
        <w:rPr>
          <w:rFonts w:ascii="Times New Roman" w:hAnsi="Times New Roman" w:cs="Times New Roman"/>
          <w:sz w:val="24"/>
          <w:szCs w:val="24"/>
        </w:rPr>
        <w:t>Приложение № 7: ДЕКЛАРАЦИЯ ЗА ЛИПСА ИЛИ НАЛИЧИЕ НА ДВОЙНО ФИНАНСИРАНЕ ПО ПРОЕКТА</w:t>
      </w:r>
    </w:p>
    <w:p w:rsidR="009A57BB" w:rsidRPr="009A57BB" w:rsidRDefault="009A57BB" w:rsidP="009A57BB">
      <w:pPr>
        <w:rPr>
          <w:rFonts w:ascii="Times New Roman" w:hAnsi="Times New Roman" w:cs="Times New Roman"/>
          <w:sz w:val="24"/>
          <w:szCs w:val="24"/>
        </w:rPr>
      </w:pPr>
      <w:r w:rsidRPr="009A57BB">
        <w:rPr>
          <w:rFonts w:ascii="Times New Roman" w:hAnsi="Times New Roman" w:cs="Times New Roman"/>
          <w:sz w:val="24"/>
          <w:szCs w:val="24"/>
        </w:rPr>
        <w:t>Приложение № 8: ЗАЯВЛЕНИЕ ЗА ПРОФИЛ ЗА ДОСТЪП НА РЪКОВОДИТЕЛ НА БЕНЕФИЦИЕНТА ДО ИСУН 2020;</w:t>
      </w:r>
    </w:p>
    <w:p w:rsidR="009A57BB" w:rsidRPr="009A57BB" w:rsidRDefault="009A57BB" w:rsidP="009A57BB">
      <w:pPr>
        <w:rPr>
          <w:rFonts w:ascii="Times New Roman" w:hAnsi="Times New Roman" w:cs="Times New Roman"/>
          <w:sz w:val="24"/>
          <w:szCs w:val="24"/>
        </w:rPr>
      </w:pPr>
      <w:r w:rsidRPr="009A57BB">
        <w:rPr>
          <w:rFonts w:ascii="Times New Roman" w:hAnsi="Times New Roman" w:cs="Times New Roman"/>
          <w:sz w:val="24"/>
          <w:szCs w:val="24"/>
        </w:rPr>
        <w:t>Приложение № 9: Административен договор за бенефициенти, възложители по ЗУСЕСИФ;</w:t>
      </w:r>
    </w:p>
    <w:p w:rsidR="009A57BB" w:rsidRPr="009A57BB" w:rsidRDefault="009A57BB" w:rsidP="009A57BB">
      <w:pPr>
        <w:rPr>
          <w:rFonts w:ascii="Times New Roman" w:hAnsi="Times New Roman" w:cs="Times New Roman"/>
          <w:sz w:val="24"/>
          <w:szCs w:val="24"/>
        </w:rPr>
      </w:pPr>
      <w:r w:rsidRPr="009A57BB">
        <w:rPr>
          <w:rFonts w:ascii="Times New Roman" w:hAnsi="Times New Roman" w:cs="Times New Roman"/>
          <w:sz w:val="24"/>
          <w:szCs w:val="24"/>
        </w:rPr>
        <w:lastRenderedPageBreak/>
        <w:t>Приложение № 10: Административен договор за бенефициенти, възложители по ЗОП</w:t>
      </w:r>
    </w:p>
    <w:p w:rsidR="009A57BB" w:rsidRPr="009A57BB" w:rsidRDefault="009A57BB" w:rsidP="009A57BB">
      <w:pPr>
        <w:rPr>
          <w:rFonts w:ascii="Times New Roman" w:hAnsi="Times New Roman" w:cs="Times New Roman"/>
          <w:sz w:val="24"/>
          <w:szCs w:val="24"/>
        </w:rPr>
      </w:pPr>
      <w:r w:rsidRPr="009A57BB">
        <w:rPr>
          <w:rFonts w:ascii="Times New Roman" w:hAnsi="Times New Roman" w:cs="Times New Roman"/>
          <w:sz w:val="24"/>
          <w:szCs w:val="24"/>
        </w:rPr>
        <w:t>Приложение № 11: УСЛОВИЯ ЗА ИЗПЪЛНЕНИЕ НА ОДОБРЕНИТЕ ПРОЕКТИ;</w:t>
      </w:r>
    </w:p>
    <w:p w:rsidR="009C1C8E" w:rsidRPr="009C1C8E" w:rsidRDefault="009A57BB" w:rsidP="009A57BB">
      <w:pPr>
        <w:rPr>
          <w:rFonts w:ascii="Times New Roman" w:hAnsi="Times New Roman" w:cs="Times New Roman"/>
          <w:sz w:val="24"/>
          <w:szCs w:val="24"/>
        </w:rPr>
      </w:pPr>
      <w:r w:rsidRPr="009A57BB">
        <w:rPr>
          <w:rFonts w:ascii="Times New Roman" w:hAnsi="Times New Roman" w:cs="Times New Roman"/>
          <w:sz w:val="24"/>
          <w:szCs w:val="24"/>
        </w:rPr>
        <w:t>Приложение 12 Заявление за профил в ИСУН-упълномощени.</w:t>
      </w:r>
    </w:p>
    <w:p w:rsidR="009C1C8E" w:rsidRPr="009C1C8E" w:rsidRDefault="009C1C8E" w:rsidP="009C1C8E">
      <w:pPr>
        <w:rPr>
          <w:rFonts w:ascii="Times New Roman" w:hAnsi="Times New Roman" w:cs="Times New Roman"/>
          <w:sz w:val="24"/>
          <w:szCs w:val="24"/>
        </w:rPr>
      </w:pPr>
    </w:p>
    <w:p w:rsidR="009C1C8E" w:rsidRPr="009C1C8E" w:rsidRDefault="009C1C8E" w:rsidP="009C1C8E">
      <w:pPr>
        <w:rPr>
          <w:rFonts w:ascii="Times New Roman" w:hAnsi="Times New Roman" w:cs="Times New Roman"/>
          <w:sz w:val="24"/>
          <w:szCs w:val="24"/>
        </w:rPr>
      </w:pPr>
    </w:p>
    <w:p w:rsidR="009C1C8E" w:rsidRPr="009C1C8E" w:rsidRDefault="009C1C8E" w:rsidP="009C1C8E">
      <w:pPr>
        <w:spacing w:before="120"/>
        <w:ind w:firstLine="851"/>
        <w:jc w:val="both"/>
        <w:rPr>
          <w:rFonts w:ascii="Times New Roman" w:hAnsi="Times New Roman" w:cs="Times New Roman"/>
          <w:b/>
          <w:sz w:val="24"/>
          <w:szCs w:val="24"/>
          <w:highlight w:val="yellow"/>
        </w:rPr>
      </w:pPr>
      <w:r w:rsidRPr="009C1C8E">
        <w:rPr>
          <w:rFonts w:ascii="Times New Roman" w:eastAsia="Calibri" w:hAnsi="Times New Roman" w:cs="Times New Roman"/>
          <w:b/>
          <w:bCs/>
          <w:i/>
          <w:iCs/>
          <w:color w:val="000000"/>
          <w:sz w:val="24"/>
          <w:szCs w:val="24"/>
        </w:rPr>
        <w:t>При противоречие на насоките с нормативен акт се прилага приложимия нормативен акт от националното или европейското право.</w:t>
      </w:r>
    </w:p>
    <w:p w:rsidR="00776AB3" w:rsidRPr="009C1C8E" w:rsidRDefault="00776AB3">
      <w:pPr>
        <w:rPr>
          <w:rFonts w:ascii="Times New Roman" w:hAnsi="Times New Roman" w:cs="Times New Roman"/>
          <w:sz w:val="24"/>
          <w:szCs w:val="24"/>
        </w:rPr>
      </w:pPr>
    </w:p>
    <w:sectPr w:rsidR="00776AB3" w:rsidRPr="009C1C8E" w:rsidSect="008B7756">
      <w:headerReference w:type="default" r:id="rId9"/>
      <w:footerReference w:type="default" r:id="rId10"/>
      <w:pgSz w:w="11906" w:h="16838"/>
      <w:pgMar w:top="1411" w:right="849" w:bottom="1411" w:left="1411" w:header="288"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C6D" w:rsidRDefault="006B7C6D" w:rsidP="00776AB3">
      <w:pPr>
        <w:spacing w:after="0" w:line="240" w:lineRule="auto"/>
      </w:pPr>
      <w:r>
        <w:separator/>
      </w:r>
    </w:p>
  </w:endnote>
  <w:endnote w:type="continuationSeparator" w:id="0">
    <w:p w:rsidR="006B7C6D" w:rsidRDefault="006B7C6D" w:rsidP="00776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417C" w:rsidRDefault="006B7C6D">
    <w:pPr>
      <w:pStyle w:val="a7"/>
      <w:jc w:val="center"/>
      <w:rPr>
        <w:rFonts w:ascii="Verdana" w:hAnsi="Verdana"/>
        <w:sz w:val="18"/>
        <w:szCs w:val="18"/>
      </w:rPr>
    </w:pPr>
  </w:p>
  <w:p w:rsidR="00353FA1" w:rsidRDefault="009050C7">
    <w:pPr>
      <w:pStyle w:val="a7"/>
      <w:jc w:val="center"/>
      <w:rPr>
        <w:rFonts w:ascii="Verdana" w:hAnsi="Verdana"/>
        <w:sz w:val="18"/>
        <w:szCs w:val="18"/>
      </w:rPr>
    </w:pPr>
    <w:r w:rsidRPr="00FA5CE3">
      <w:rPr>
        <w:rFonts w:ascii="Verdana" w:hAnsi="Verdana"/>
        <w:sz w:val="18"/>
        <w:szCs w:val="18"/>
      </w:rPr>
      <w:fldChar w:fldCharType="begin"/>
    </w:r>
    <w:r w:rsidR="007F373D" w:rsidRPr="0015148C">
      <w:rPr>
        <w:rFonts w:ascii="Verdana" w:hAnsi="Verdana"/>
        <w:sz w:val="18"/>
        <w:szCs w:val="18"/>
      </w:rPr>
      <w:instrText xml:space="preserve">PAGE   </w:instrText>
    </w:r>
    <w:r w:rsidR="007F373D">
      <w:rPr>
        <w:rFonts w:ascii="Verdana" w:hAnsi="Verdana"/>
        <w:sz w:val="18"/>
        <w:szCs w:val="18"/>
      </w:rPr>
      <w:instrText>\</w:instrText>
    </w:r>
    <w:r w:rsidR="007F373D" w:rsidRPr="0015148C">
      <w:rPr>
        <w:rFonts w:ascii="Verdana" w:hAnsi="Verdana"/>
        <w:sz w:val="18"/>
        <w:szCs w:val="18"/>
      </w:rPr>
      <w:instrText>* MERGEFORMAT</w:instrText>
    </w:r>
    <w:r w:rsidRPr="00FA5CE3">
      <w:rPr>
        <w:rFonts w:ascii="Verdana" w:hAnsi="Verdana"/>
        <w:sz w:val="18"/>
        <w:szCs w:val="18"/>
      </w:rPr>
      <w:fldChar w:fldCharType="separate"/>
    </w:r>
    <w:r w:rsidR="009A57BB">
      <w:rPr>
        <w:rFonts w:ascii="Verdana" w:hAnsi="Verdana"/>
        <w:noProof/>
        <w:sz w:val="18"/>
        <w:szCs w:val="18"/>
      </w:rPr>
      <w:t>13</w:t>
    </w:r>
    <w:r w:rsidRPr="00FA5CE3">
      <w:rPr>
        <w:rFonts w:ascii="Verdana" w:hAnsi="Verdana"/>
        <w:sz w:val="18"/>
        <w:szCs w:val="18"/>
      </w:rPr>
      <w:fldChar w:fldCharType="end"/>
    </w:r>
  </w:p>
  <w:p w:rsidR="00353FA1" w:rsidRPr="008B7756" w:rsidRDefault="007F373D" w:rsidP="00635C58">
    <w:pPr>
      <w:pStyle w:val="a7"/>
      <w:jc w:val="center"/>
      <w:rPr>
        <w:szCs w:val="24"/>
        <w:lang w:val="ru-RU"/>
      </w:rPr>
    </w:pPr>
    <w:r w:rsidRPr="008B7756">
      <w:rPr>
        <w:szCs w:val="24"/>
        <w:lang w:val="en-US"/>
      </w:rPr>
      <w:t>www</w:t>
    </w:r>
    <w:r w:rsidRPr="008B7756">
      <w:rPr>
        <w:szCs w:val="24"/>
        <w:lang w:val="ru-RU"/>
      </w:rPr>
      <w:t>.</w:t>
    </w:r>
    <w:proofErr w:type="spellStart"/>
    <w:r w:rsidRPr="008B7756">
      <w:rPr>
        <w:szCs w:val="24"/>
        <w:lang w:val="en-US"/>
      </w:rPr>
      <w:t>eufunds</w:t>
    </w:r>
    <w:proofErr w:type="spellEnd"/>
    <w:r w:rsidRPr="008B7756">
      <w:rPr>
        <w:szCs w:val="24"/>
        <w:lang w:val="ru-RU"/>
      </w:rPr>
      <w:t>.</w:t>
    </w:r>
    <w:proofErr w:type="spellStart"/>
    <w:r w:rsidRPr="008B7756">
      <w:rPr>
        <w:szCs w:val="24"/>
        <w:lang w:val="en-US"/>
      </w:rPr>
      <w:t>bg</w:t>
    </w:r>
    <w:proofErr w:type="spellEnd"/>
  </w:p>
  <w:p w:rsidR="00353FA1" w:rsidRPr="00FD4592" w:rsidRDefault="008B7756" w:rsidP="00635C58">
    <w:pPr>
      <w:pStyle w:val="a7"/>
      <w:jc w:val="center"/>
      <w:rPr>
        <w:szCs w:val="24"/>
        <w:lang w:val="en-US"/>
      </w:rPr>
    </w:pPr>
    <w:r w:rsidRPr="008B7756">
      <w:rPr>
        <w:szCs w:val="24"/>
      </w:rPr>
      <w:t xml:space="preserve">Процедура </w:t>
    </w:r>
    <w:r w:rsidR="000B4834" w:rsidRPr="000B4834">
      <w:rPr>
        <w:szCs w:val="24"/>
      </w:rPr>
      <w:t>№BG06RDNP001-19.</w:t>
    </w:r>
    <w:r w:rsidR="00FD4592">
      <w:rPr>
        <w:szCs w:val="24"/>
        <w:lang w:val="en-US"/>
      </w:rPr>
      <w:t>541</w:t>
    </w:r>
  </w:p>
  <w:p w:rsidR="00353FA1" w:rsidRDefault="006B7C6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C6D" w:rsidRDefault="006B7C6D" w:rsidP="00776AB3">
      <w:pPr>
        <w:spacing w:after="0" w:line="240" w:lineRule="auto"/>
      </w:pPr>
      <w:r>
        <w:separator/>
      </w:r>
    </w:p>
  </w:footnote>
  <w:footnote w:type="continuationSeparator" w:id="0">
    <w:p w:rsidR="006B7C6D" w:rsidRDefault="006B7C6D" w:rsidP="00776A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FA1" w:rsidRDefault="006B7C6D" w:rsidP="006A09CB">
    <w:pPr>
      <w:pStyle w:val="a5"/>
      <w:rPr>
        <w:b/>
        <w:lang w:val="ru-RU"/>
      </w:rPr>
    </w:pPr>
  </w:p>
  <w:p w:rsidR="008B7756" w:rsidRPr="00397A7E" w:rsidRDefault="008B7756" w:rsidP="008B7756">
    <w:pPr>
      <w:rPr>
        <w:sz w:val="28"/>
        <w:szCs w:val="28"/>
      </w:rPr>
    </w:pPr>
    <w:r w:rsidRPr="001A646A">
      <w:rPr>
        <w:noProof/>
        <w:sz w:val="28"/>
        <w:szCs w:val="28"/>
      </w:rPr>
      <w:drawing>
        <wp:inline distT="0" distB="0" distL="0" distR="0">
          <wp:extent cx="742950" cy="581025"/>
          <wp:effectExtent l="0" t="0" r="0" b="9525"/>
          <wp:docPr id="98" name="Картина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581025"/>
                  </a:xfrm>
                  <a:prstGeom prst="rect">
                    <a:avLst/>
                  </a:prstGeom>
                  <a:noFill/>
                  <a:ln>
                    <a:noFill/>
                  </a:ln>
                </pic:spPr>
              </pic:pic>
            </a:graphicData>
          </a:graphic>
        </wp:inline>
      </w:drawing>
    </w:r>
    <w:r>
      <w:rPr>
        <w:sz w:val="28"/>
        <w:szCs w:val="28"/>
      </w:rPr>
      <w:t xml:space="preserve">   </w:t>
    </w:r>
    <w:r w:rsidRPr="001A646A">
      <w:rPr>
        <w:noProof/>
        <w:sz w:val="28"/>
        <w:szCs w:val="28"/>
      </w:rPr>
      <w:drawing>
        <wp:inline distT="0" distB="0" distL="0" distR="0">
          <wp:extent cx="514350" cy="514350"/>
          <wp:effectExtent l="0" t="0" r="0" b="0"/>
          <wp:docPr id="99" name="Картина 99" descr="logo 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LEAD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noFill/>
                  <a:ln>
                    <a:noFill/>
                  </a:ln>
                </pic:spPr>
              </pic:pic>
            </a:graphicData>
          </a:graphic>
        </wp:inline>
      </w:drawing>
    </w:r>
    <w:r>
      <w:rPr>
        <w:sz w:val="28"/>
        <w:szCs w:val="28"/>
      </w:rPr>
      <w:t xml:space="preserve">  </w:t>
    </w:r>
    <w:r w:rsidRPr="001A646A">
      <w:rPr>
        <w:i/>
        <w:noProof/>
        <w:sz w:val="28"/>
        <w:szCs w:val="28"/>
      </w:rPr>
      <w:drawing>
        <wp:inline distT="0" distB="0" distL="0" distR="0">
          <wp:extent cx="590550" cy="466725"/>
          <wp:effectExtent l="19050" t="19050" r="19050" b="28575"/>
          <wp:docPr id="100" name="Картина 100"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7" descr="Описание: bg_fla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0550" cy="466725"/>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Pr>
        <w:sz w:val="28"/>
        <w:szCs w:val="28"/>
      </w:rPr>
      <w:t xml:space="preserve">  </w:t>
    </w:r>
    <w:r w:rsidRPr="001A646A">
      <w:rPr>
        <w:noProof/>
        <w:sz w:val="28"/>
        <w:szCs w:val="28"/>
      </w:rPr>
      <w:drawing>
        <wp:inline distT="0" distB="0" distL="0" distR="0">
          <wp:extent cx="790575" cy="504825"/>
          <wp:effectExtent l="0" t="0" r="9525" b="9525"/>
          <wp:docPr id="101" name="Картина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90575" cy="504825"/>
                  </a:xfrm>
                  <a:prstGeom prst="rect">
                    <a:avLst/>
                  </a:prstGeom>
                  <a:noFill/>
                  <a:ln>
                    <a:noFill/>
                  </a:ln>
                </pic:spPr>
              </pic:pic>
            </a:graphicData>
          </a:graphic>
        </wp:inline>
      </w:drawing>
    </w:r>
    <w:r>
      <w:rPr>
        <w:sz w:val="28"/>
        <w:szCs w:val="28"/>
      </w:rPr>
      <w:t xml:space="preserve">  </w:t>
    </w:r>
    <w:r w:rsidRPr="001A646A">
      <w:rPr>
        <w:noProof/>
        <w:sz w:val="28"/>
        <w:szCs w:val="28"/>
      </w:rPr>
      <w:drawing>
        <wp:inline distT="0" distB="0" distL="0" distR="0">
          <wp:extent cx="1171575" cy="600075"/>
          <wp:effectExtent l="0" t="0" r="9525" b="9525"/>
          <wp:docPr id="102" name="Картина 102"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600075"/>
                  </a:xfrm>
                  <a:prstGeom prst="rect">
                    <a:avLst/>
                  </a:prstGeom>
                  <a:noFill/>
                  <a:ln>
                    <a:noFill/>
                  </a:ln>
                </pic:spPr>
              </pic:pic>
            </a:graphicData>
          </a:graphic>
        </wp:inline>
      </w:drawing>
    </w:r>
    <w:r>
      <w:rPr>
        <w:sz w:val="28"/>
        <w:szCs w:val="28"/>
        <w:lang w:val="en-US"/>
      </w:rPr>
      <w:t xml:space="preserve"> </w:t>
    </w:r>
    <w:r w:rsidRPr="001A646A">
      <w:rPr>
        <w:noProof/>
        <w:sz w:val="28"/>
        <w:szCs w:val="28"/>
      </w:rPr>
      <w:drawing>
        <wp:inline distT="0" distB="0" distL="0" distR="0">
          <wp:extent cx="1095375" cy="590550"/>
          <wp:effectExtent l="0" t="0" r="9525" b="0"/>
          <wp:docPr id="103" name="Картина 103"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6" descr="Свързано изображени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5375" cy="590550"/>
                  </a:xfrm>
                  <a:prstGeom prst="rect">
                    <a:avLst/>
                  </a:prstGeom>
                  <a:noFill/>
                  <a:ln>
                    <a:noFill/>
                  </a:ln>
                </pic:spPr>
              </pic:pic>
            </a:graphicData>
          </a:graphic>
        </wp:inline>
      </w:drawing>
    </w:r>
    <w:r w:rsidRPr="00B20C75">
      <w:rPr>
        <w:noProof/>
      </w:rPr>
      <w:drawing>
        <wp:inline distT="0" distB="0" distL="0" distR="0">
          <wp:extent cx="1200150" cy="552450"/>
          <wp:effectExtent l="0" t="0" r="0" b="0"/>
          <wp:docPr id="104" name="Картина 104"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Свързано изображени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0150" cy="552450"/>
                  </a:xfrm>
                  <a:prstGeom prst="rect">
                    <a:avLst/>
                  </a:prstGeom>
                  <a:noFill/>
                  <a:ln>
                    <a:noFill/>
                  </a:ln>
                </pic:spPr>
              </pic:pic>
            </a:graphicData>
          </a:graphic>
        </wp:inline>
      </w:drawing>
    </w:r>
  </w:p>
  <w:p w:rsidR="008B7756" w:rsidRPr="000E06D6" w:rsidRDefault="008B7756" w:rsidP="008B7756">
    <w:pPr>
      <w:pStyle w:val="ac"/>
      <w:jc w:val="center"/>
      <w:rPr>
        <w:b/>
        <w:sz w:val="24"/>
        <w:szCs w:val="24"/>
        <w:highlight w:val="white"/>
        <w:shd w:val="clear" w:color="auto" w:fill="FEFEFE"/>
        <w:lang w:val="ru-RU"/>
      </w:rPr>
    </w:pPr>
    <w:proofErr w:type="spellStart"/>
    <w:r w:rsidRPr="000E06D6">
      <w:rPr>
        <w:b/>
        <w:sz w:val="24"/>
        <w:szCs w:val="24"/>
        <w:highlight w:val="white"/>
        <w:shd w:val="clear" w:color="auto" w:fill="FEFEFE"/>
        <w:lang w:val="ru-RU"/>
      </w:rPr>
      <w:t>Европейският</w:t>
    </w:r>
    <w:proofErr w:type="spellEnd"/>
    <w:r w:rsidRPr="000E06D6">
      <w:rPr>
        <w:b/>
        <w:sz w:val="24"/>
        <w:szCs w:val="24"/>
        <w:highlight w:val="white"/>
        <w:shd w:val="clear" w:color="auto" w:fill="FEFEFE"/>
        <w:lang w:val="ru-RU"/>
      </w:rPr>
      <w:t xml:space="preserve"> </w:t>
    </w:r>
    <w:proofErr w:type="spellStart"/>
    <w:r w:rsidRPr="000E06D6">
      <w:rPr>
        <w:b/>
        <w:sz w:val="24"/>
        <w:szCs w:val="24"/>
        <w:highlight w:val="white"/>
        <w:shd w:val="clear" w:color="auto" w:fill="FEFEFE"/>
        <w:lang w:val="ru-RU"/>
      </w:rPr>
      <w:t>земеделски</w:t>
    </w:r>
    <w:proofErr w:type="spellEnd"/>
    <w:r w:rsidRPr="000E06D6">
      <w:rPr>
        <w:b/>
        <w:sz w:val="24"/>
        <w:szCs w:val="24"/>
        <w:highlight w:val="white"/>
        <w:shd w:val="clear" w:color="auto" w:fill="FEFEFE"/>
        <w:lang w:val="ru-RU"/>
      </w:rPr>
      <w:t xml:space="preserve"> фонд за развитие на </w:t>
    </w:r>
    <w:proofErr w:type="spellStart"/>
    <w:r w:rsidRPr="000E06D6">
      <w:rPr>
        <w:b/>
        <w:sz w:val="24"/>
        <w:szCs w:val="24"/>
        <w:highlight w:val="white"/>
        <w:shd w:val="clear" w:color="auto" w:fill="FEFEFE"/>
        <w:lang w:val="ru-RU"/>
      </w:rPr>
      <w:t>селските</w:t>
    </w:r>
    <w:proofErr w:type="spellEnd"/>
    <w:r w:rsidRPr="000E06D6">
      <w:rPr>
        <w:b/>
        <w:sz w:val="24"/>
        <w:szCs w:val="24"/>
        <w:highlight w:val="white"/>
        <w:shd w:val="clear" w:color="auto" w:fill="FEFEFE"/>
        <w:lang w:val="ru-RU"/>
      </w:rPr>
      <w:t xml:space="preserve"> </w:t>
    </w:r>
    <w:proofErr w:type="spellStart"/>
    <w:r w:rsidRPr="000E06D6">
      <w:rPr>
        <w:b/>
        <w:sz w:val="24"/>
        <w:szCs w:val="24"/>
        <w:highlight w:val="white"/>
        <w:shd w:val="clear" w:color="auto" w:fill="FEFEFE"/>
        <w:lang w:val="ru-RU"/>
      </w:rPr>
      <w:t>райони</w:t>
    </w:r>
    <w:proofErr w:type="spellEnd"/>
    <w:r w:rsidRPr="000E06D6">
      <w:rPr>
        <w:b/>
        <w:sz w:val="24"/>
        <w:szCs w:val="24"/>
        <w:highlight w:val="white"/>
        <w:shd w:val="clear" w:color="auto" w:fill="FEFEFE"/>
        <w:lang w:val="ru-RU"/>
      </w:rPr>
      <w:t>:</w:t>
    </w:r>
  </w:p>
  <w:p w:rsidR="008B7756" w:rsidRPr="000E06D6" w:rsidRDefault="008B7756" w:rsidP="008B7756">
    <w:pPr>
      <w:pStyle w:val="ac"/>
      <w:jc w:val="center"/>
      <w:rPr>
        <w:b/>
        <w:sz w:val="24"/>
        <w:szCs w:val="24"/>
        <w:lang w:val="ru-RU"/>
      </w:rPr>
    </w:pPr>
    <w:r w:rsidRPr="000E06D6">
      <w:rPr>
        <w:b/>
        <w:sz w:val="24"/>
        <w:szCs w:val="24"/>
        <w:highlight w:val="white"/>
        <w:shd w:val="clear" w:color="auto" w:fill="FEFEFE"/>
        <w:lang w:val="ru-RU"/>
      </w:rPr>
      <w:t xml:space="preserve">Европа </w:t>
    </w:r>
    <w:proofErr w:type="spellStart"/>
    <w:r w:rsidRPr="000E06D6">
      <w:rPr>
        <w:b/>
        <w:sz w:val="24"/>
        <w:szCs w:val="24"/>
        <w:highlight w:val="white"/>
        <w:shd w:val="clear" w:color="auto" w:fill="FEFEFE"/>
        <w:lang w:val="ru-RU"/>
      </w:rPr>
      <w:t>инвестира</w:t>
    </w:r>
    <w:proofErr w:type="spellEnd"/>
    <w:r w:rsidRPr="000E06D6">
      <w:rPr>
        <w:b/>
        <w:sz w:val="24"/>
        <w:szCs w:val="24"/>
        <w:highlight w:val="white"/>
        <w:shd w:val="clear" w:color="auto" w:fill="FEFEFE"/>
        <w:lang w:val="ru-RU"/>
      </w:rPr>
      <w:t xml:space="preserve"> в </w:t>
    </w:r>
    <w:proofErr w:type="spellStart"/>
    <w:r w:rsidRPr="000E06D6">
      <w:rPr>
        <w:b/>
        <w:sz w:val="24"/>
        <w:szCs w:val="24"/>
        <w:highlight w:val="white"/>
        <w:shd w:val="clear" w:color="auto" w:fill="FEFEFE"/>
        <w:lang w:val="ru-RU"/>
      </w:rPr>
      <w:t>селските</w:t>
    </w:r>
    <w:proofErr w:type="spellEnd"/>
    <w:r w:rsidRPr="000E06D6">
      <w:rPr>
        <w:b/>
        <w:sz w:val="24"/>
        <w:szCs w:val="24"/>
        <w:highlight w:val="white"/>
        <w:shd w:val="clear" w:color="auto" w:fill="FEFEFE"/>
        <w:lang w:val="ru-RU"/>
      </w:rPr>
      <w:t xml:space="preserve"> </w:t>
    </w:r>
    <w:proofErr w:type="spellStart"/>
    <w:r w:rsidRPr="000E06D6">
      <w:rPr>
        <w:b/>
        <w:sz w:val="24"/>
        <w:szCs w:val="24"/>
        <w:highlight w:val="white"/>
        <w:shd w:val="clear" w:color="auto" w:fill="FEFEFE"/>
        <w:lang w:val="ru-RU"/>
      </w:rPr>
      <w:t>райони</w:t>
    </w:r>
    <w:proofErr w:type="spellEnd"/>
    <w:proofErr w:type="gramStart"/>
    <w:r w:rsidRPr="000E06D6">
      <w:rPr>
        <w:b/>
        <w:sz w:val="24"/>
        <w:szCs w:val="24"/>
        <w:shd w:val="clear" w:color="auto" w:fill="FEFEFE"/>
        <w:lang w:val="ru-RU"/>
      </w:rPr>
      <w:t xml:space="preserve"> !</w:t>
    </w:r>
    <w:proofErr w:type="gramEnd"/>
  </w:p>
  <w:p w:rsidR="00353FA1" w:rsidRDefault="006B7C6D" w:rsidP="008B7756">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C8E"/>
    <w:rsid w:val="000253D6"/>
    <w:rsid w:val="000B4834"/>
    <w:rsid w:val="00206A09"/>
    <w:rsid w:val="005248B5"/>
    <w:rsid w:val="00653B84"/>
    <w:rsid w:val="006A468A"/>
    <w:rsid w:val="006B7C6D"/>
    <w:rsid w:val="00776AB3"/>
    <w:rsid w:val="007F373D"/>
    <w:rsid w:val="008B7756"/>
    <w:rsid w:val="008E2D1A"/>
    <w:rsid w:val="009050C7"/>
    <w:rsid w:val="00914722"/>
    <w:rsid w:val="009A57BB"/>
    <w:rsid w:val="009C1C8E"/>
    <w:rsid w:val="00D72E83"/>
    <w:rsid w:val="00EB4D1F"/>
    <w:rsid w:val="00FD459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AB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C1C8E"/>
    <w:pPr>
      <w:suppressAutoHyphens/>
      <w:spacing w:after="120" w:line="240" w:lineRule="auto"/>
    </w:pPr>
    <w:rPr>
      <w:rFonts w:ascii="Times New Roman" w:eastAsia="Times New Roman" w:hAnsi="Times New Roman" w:cs="Times New Roman"/>
      <w:sz w:val="24"/>
      <w:szCs w:val="20"/>
      <w:lang w:eastAsia="ar-SA"/>
    </w:rPr>
  </w:style>
  <w:style w:type="character" w:customStyle="1" w:styleId="a4">
    <w:name w:val="Основен текст Знак"/>
    <w:basedOn w:val="a0"/>
    <w:link w:val="a3"/>
    <w:uiPriority w:val="99"/>
    <w:rsid w:val="009C1C8E"/>
    <w:rPr>
      <w:rFonts w:ascii="Times New Roman" w:eastAsia="Times New Roman" w:hAnsi="Times New Roman" w:cs="Times New Roman"/>
      <w:sz w:val="24"/>
      <w:szCs w:val="20"/>
      <w:lang w:eastAsia="ar-SA"/>
    </w:rPr>
  </w:style>
  <w:style w:type="paragraph" w:styleId="a5">
    <w:name w:val="header"/>
    <w:basedOn w:val="a"/>
    <w:link w:val="a6"/>
    <w:uiPriority w:val="99"/>
    <w:rsid w:val="009C1C8E"/>
    <w:pPr>
      <w:tabs>
        <w:tab w:val="center" w:pos="4536"/>
        <w:tab w:val="right" w:pos="9072"/>
      </w:tabs>
      <w:suppressAutoHyphens/>
      <w:spacing w:after="0" w:line="240" w:lineRule="auto"/>
    </w:pPr>
    <w:rPr>
      <w:rFonts w:ascii="Times New Roman" w:eastAsia="Times New Roman" w:hAnsi="Times New Roman" w:cs="Times New Roman"/>
      <w:sz w:val="24"/>
      <w:szCs w:val="20"/>
      <w:lang w:val="en-US" w:eastAsia="ar-SA"/>
    </w:rPr>
  </w:style>
  <w:style w:type="character" w:customStyle="1" w:styleId="a6">
    <w:name w:val="Горен колонтитул Знак"/>
    <w:basedOn w:val="a0"/>
    <w:link w:val="a5"/>
    <w:uiPriority w:val="99"/>
    <w:rsid w:val="009C1C8E"/>
    <w:rPr>
      <w:rFonts w:ascii="Times New Roman" w:eastAsia="Times New Roman" w:hAnsi="Times New Roman" w:cs="Times New Roman"/>
      <w:sz w:val="24"/>
      <w:szCs w:val="20"/>
      <w:lang w:val="en-US" w:eastAsia="ar-SA"/>
    </w:rPr>
  </w:style>
  <w:style w:type="paragraph" w:styleId="a7">
    <w:name w:val="footer"/>
    <w:basedOn w:val="a"/>
    <w:link w:val="a8"/>
    <w:uiPriority w:val="99"/>
    <w:rsid w:val="009C1C8E"/>
    <w:pPr>
      <w:tabs>
        <w:tab w:val="center" w:pos="4536"/>
        <w:tab w:val="right" w:pos="9072"/>
      </w:tabs>
      <w:suppressAutoHyphens/>
      <w:spacing w:after="0" w:line="240" w:lineRule="auto"/>
    </w:pPr>
    <w:rPr>
      <w:rFonts w:ascii="Times New Roman" w:eastAsia="Times New Roman" w:hAnsi="Times New Roman" w:cs="Times New Roman"/>
      <w:sz w:val="24"/>
      <w:szCs w:val="20"/>
      <w:lang w:eastAsia="ar-SA"/>
    </w:rPr>
  </w:style>
  <w:style w:type="character" w:customStyle="1" w:styleId="a8">
    <w:name w:val="Долен колонтитул Знак"/>
    <w:basedOn w:val="a0"/>
    <w:link w:val="a7"/>
    <w:uiPriority w:val="99"/>
    <w:rsid w:val="009C1C8E"/>
    <w:rPr>
      <w:rFonts w:ascii="Times New Roman" w:eastAsia="Times New Roman" w:hAnsi="Times New Roman" w:cs="Times New Roman"/>
      <w:sz w:val="24"/>
      <w:szCs w:val="20"/>
      <w:lang w:eastAsia="ar-SA"/>
    </w:rPr>
  </w:style>
  <w:style w:type="character" w:styleId="a9">
    <w:name w:val="Hyperlink"/>
    <w:uiPriority w:val="99"/>
    <w:rsid w:val="009C1C8E"/>
    <w:rPr>
      <w:rFonts w:cs="Times New Roman"/>
      <w:color w:val="0563C1"/>
      <w:u w:val="single"/>
    </w:rPr>
  </w:style>
  <w:style w:type="character" w:customStyle="1" w:styleId="Bodytext3">
    <w:name w:val="Body text (3)"/>
    <w:uiPriority w:val="99"/>
    <w:rsid w:val="009C1C8E"/>
  </w:style>
  <w:style w:type="paragraph" w:styleId="aa">
    <w:name w:val="Balloon Text"/>
    <w:basedOn w:val="a"/>
    <w:link w:val="ab"/>
    <w:uiPriority w:val="99"/>
    <w:semiHidden/>
    <w:unhideWhenUsed/>
    <w:rsid w:val="009C1C8E"/>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9C1C8E"/>
    <w:rPr>
      <w:rFonts w:ascii="Tahoma" w:hAnsi="Tahoma" w:cs="Tahoma"/>
      <w:sz w:val="16"/>
      <w:szCs w:val="16"/>
    </w:rPr>
  </w:style>
  <w:style w:type="paragraph" w:styleId="ac">
    <w:name w:val="No Spacing"/>
    <w:uiPriority w:val="1"/>
    <w:qFormat/>
    <w:rsid w:val="008B7756"/>
    <w:pPr>
      <w:spacing w:after="0" w:line="240" w:lineRule="auto"/>
    </w:pPr>
    <w:rPr>
      <w:rFonts w:ascii="Calibri" w:eastAsia="Calibri" w:hAnsi="Calibri" w:cs="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6AB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C1C8E"/>
    <w:pPr>
      <w:suppressAutoHyphens/>
      <w:spacing w:after="120" w:line="240" w:lineRule="auto"/>
    </w:pPr>
    <w:rPr>
      <w:rFonts w:ascii="Times New Roman" w:eastAsia="Times New Roman" w:hAnsi="Times New Roman" w:cs="Times New Roman"/>
      <w:sz w:val="24"/>
      <w:szCs w:val="20"/>
      <w:lang w:eastAsia="ar-SA"/>
    </w:rPr>
  </w:style>
  <w:style w:type="character" w:customStyle="1" w:styleId="a4">
    <w:name w:val="Основен текст Знак"/>
    <w:basedOn w:val="a0"/>
    <w:link w:val="a3"/>
    <w:uiPriority w:val="99"/>
    <w:rsid w:val="009C1C8E"/>
    <w:rPr>
      <w:rFonts w:ascii="Times New Roman" w:eastAsia="Times New Roman" w:hAnsi="Times New Roman" w:cs="Times New Roman"/>
      <w:sz w:val="24"/>
      <w:szCs w:val="20"/>
      <w:lang w:eastAsia="ar-SA"/>
    </w:rPr>
  </w:style>
  <w:style w:type="paragraph" w:styleId="a5">
    <w:name w:val="header"/>
    <w:basedOn w:val="a"/>
    <w:link w:val="a6"/>
    <w:uiPriority w:val="99"/>
    <w:rsid w:val="009C1C8E"/>
    <w:pPr>
      <w:tabs>
        <w:tab w:val="center" w:pos="4536"/>
        <w:tab w:val="right" w:pos="9072"/>
      </w:tabs>
      <w:suppressAutoHyphens/>
      <w:spacing w:after="0" w:line="240" w:lineRule="auto"/>
    </w:pPr>
    <w:rPr>
      <w:rFonts w:ascii="Times New Roman" w:eastAsia="Times New Roman" w:hAnsi="Times New Roman" w:cs="Times New Roman"/>
      <w:sz w:val="24"/>
      <w:szCs w:val="20"/>
      <w:lang w:val="en-US" w:eastAsia="ar-SA"/>
    </w:rPr>
  </w:style>
  <w:style w:type="character" w:customStyle="1" w:styleId="a6">
    <w:name w:val="Горен колонтитул Знак"/>
    <w:basedOn w:val="a0"/>
    <w:link w:val="a5"/>
    <w:uiPriority w:val="99"/>
    <w:rsid w:val="009C1C8E"/>
    <w:rPr>
      <w:rFonts w:ascii="Times New Roman" w:eastAsia="Times New Roman" w:hAnsi="Times New Roman" w:cs="Times New Roman"/>
      <w:sz w:val="24"/>
      <w:szCs w:val="20"/>
      <w:lang w:val="en-US" w:eastAsia="ar-SA"/>
    </w:rPr>
  </w:style>
  <w:style w:type="paragraph" w:styleId="a7">
    <w:name w:val="footer"/>
    <w:basedOn w:val="a"/>
    <w:link w:val="a8"/>
    <w:uiPriority w:val="99"/>
    <w:rsid w:val="009C1C8E"/>
    <w:pPr>
      <w:tabs>
        <w:tab w:val="center" w:pos="4536"/>
        <w:tab w:val="right" w:pos="9072"/>
      </w:tabs>
      <w:suppressAutoHyphens/>
      <w:spacing w:after="0" w:line="240" w:lineRule="auto"/>
    </w:pPr>
    <w:rPr>
      <w:rFonts w:ascii="Times New Roman" w:eastAsia="Times New Roman" w:hAnsi="Times New Roman" w:cs="Times New Roman"/>
      <w:sz w:val="24"/>
      <w:szCs w:val="20"/>
      <w:lang w:eastAsia="ar-SA"/>
    </w:rPr>
  </w:style>
  <w:style w:type="character" w:customStyle="1" w:styleId="a8">
    <w:name w:val="Долен колонтитул Знак"/>
    <w:basedOn w:val="a0"/>
    <w:link w:val="a7"/>
    <w:uiPriority w:val="99"/>
    <w:rsid w:val="009C1C8E"/>
    <w:rPr>
      <w:rFonts w:ascii="Times New Roman" w:eastAsia="Times New Roman" w:hAnsi="Times New Roman" w:cs="Times New Roman"/>
      <w:sz w:val="24"/>
      <w:szCs w:val="20"/>
      <w:lang w:eastAsia="ar-SA"/>
    </w:rPr>
  </w:style>
  <w:style w:type="character" w:styleId="a9">
    <w:name w:val="Hyperlink"/>
    <w:uiPriority w:val="99"/>
    <w:rsid w:val="009C1C8E"/>
    <w:rPr>
      <w:rFonts w:cs="Times New Roman"/>
      <w:color w:val="0563C1"/>
      <w:u w:val="single"/>
    </w:rPr>
  </w:style>
  <w:style w:type="character" w:customStyle="1" w:styleId="Bodytext3">
    <w:name w:val="Body text (3)"/>
    <w:uiPriority w:val="99"/>
    <w:rsid w:val="009C1C8E"/>
  </w:style>
  <w:style w:type="paragraph" w:styleId="aa">
    <w:name w:val="Balloon Text"/>
    <w:basedOn w:val="a"/>
    <w:link w:val="ab"/>
    <w:uiPriority w:val="99"/>
    <w:semiHidden/>
    <w:unhideWhenUsed/>
    <w:rsid w:val="009C1C8E"/>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9C1C8E"/>
    <w:rPr>
      <w:rFonts w:ascii="Tahoma" w:hAnsi="Tahoma" w:cs="Tahoma"/>
      <w:sz w:val="16"/>
      <w:szCs w:val="16"/>
    </w:rPr>
  </w:style>
  <w:style w:type="paragraph" w:styleId="ac">
    <w:name w:val="No Spacing"/>
    <w:uiPriority w:val="1"/>
    <w:qFormat/>
    <w:rsid w:val="008B7756"/>
    <w:pPr>
      <w:spacing w:after="0" w:line="240" w:lineRule="auto"/>
    </w:pPr>
    <w:rPr>
      <w:rFonts w:ascii="Calibri" w:eastAsia="Calibri" w:hAnsi="Calibr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jpe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16</Pages>
  <Words>4134</Words>
  <Characters>23564</Characters>
  <Application>Microsoft Office Word</Application>
  <DocSecurity>0</DocSecurity>
  <Lines>196</Lines>
  <Paragraphs>55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MIG</cp:lastModifiedBy>
  <cp:revision>9</cp:revision>
  <dcterms:created xsi:type="dcterms:W3CDTF">2018-07-15T14:04:00Z</dcterms:created>
  <dcterms:modified xsi:type="dcterms:W3CDTF">2022-01-24T14:32:00Z</dcterms:modified>
</cp:coreProperties>
</file>